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</w:t>
      </w:r>
      <w:r>
        <w:rPr>
          <w:bCs/>
          <w:color w:val="000000"/>
          <w:sz w:val="28"/>
          <w:szCs w:val="28"/>
        </w:rPr>
        <w:t xml:space="preserve">рішення </w:t>
      </w:r>
      <w:r>
        <w:rPr>
          <w:bCs/>
          <w:color w:val="000000"/>
          <w:sz w:val="28"/>
          <w:szCs w:val="28"/>
          <w:lang w:val="ru-RU"/>
        </w:rPr>
        <w:t xml:space="preserve">30</w:t>
      </w:r>
      <w:r>
        <w:rPr>
          <w:bCs/>
          <w:color w:val="000000"/>
          <w:sz w:val="28"/>
          <w:szCs w:val="28"/>
        </w:rPr>
        <w:t xml:space="preserve"> 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</w:t>
      </w:r>
      <w:r>
        <w:rPr>
          <w:bCs/>
          <w:color w:val="000000"/>
          <w:sz w:val="28"/>
          <w:szCs w:val="28"/>
          <w:lang w:val="en-US"/>
        </w:rPr>
        <w:t xml:space="preserve">8</w:t>
      </w:r>
      <w:r>
        <w:rPr>
          <w:bCs/>
          <w:color w:val="000000"/>
          <w:sz w:val="28"/>
          <w:szCs w:val="28"/>
        </w:rPr>
        <w:t xml:space="preserve"> л</w:t>
      </w:r>
      <w:r>
        <w:rPr>
          <w:bCs/>
          <w:color w:val="000000"/>
          <w:sz w:val="28"/>
          <w:szCs w:val="28"/>
        </w:rPr>
        <w:t xml:space="preserve">ютого</w:t>
      </w:r>
      <w:r>
        <w:rPr>
          <w:bCs/>
          <w:color w:val="000000"/>
          <w:sz w:val="28"/>
          <w:szCs w:val="28"/>
        </w:rPr>
        <w:t xml:space="preserve"> 202</w:t>
      </w:r>
      <w:r>
        <w:rPr>
          <w:bCs/>
          <w:color w:val="000000"/>
          <w:sz w:val="28"/>
          <w:szCs w:val="28"/>
        </w:rPr>
        <w:t xml:space="preserve">3</w:t>
      </w:r>
      <w:r>
        <w:rPr>
          <w:bCs/>
          <w:color w:val="000000"/>
          <w:sz w:val="28"/>
          <w:szCs w:val="28"/>
        </w:rPr>
        <w:t xml:space="preserve">року №62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Інформація 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стан виконання Плану соціально-економічного розвитку Менської міської територіальної громади за </w:t>
      </w:r>
      <w:r>
        <w:rPr>
          <w:b/>
          <w:color w:val="000000"/>
          <w:sz w:val="28"/>
          <w:szCs w:val="28"/>
        </w:rPr>
        <w:t xml:space="preserve">12</w:t>
      </w:r>
      <w:r>
        <w:rPr>
          <w:b/>
          <w:color w:val="000000"/>
          <w:sz w:val="28"/>
          <w:szCs w:val="28"/>
        </w:rPr>
        <w:t xml:space="preserve"> місяців 2022 року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створення умов для стабільного соціально-економічного розвитку громади робота апарату міської ради, її структурних підрозділів та виконавчого комітету протягом звітного періоду с</w:t>
      </w:r>
      <w:r>
        <w:rPr>
          <w:color w:val="000000"/>
          <w:sz w:val="28"/>
          <w:szCs w:val="28"/>
        </w:rPr>
        <w:t xml:space="preserve">прямовувалась на забезпечення виконання основних завдань, визначених Планом соціально-економічного розвитку Менської міської територіальної громади на 2021-2022 роки, затвердженої рішенням 2 сесії Менської міської ради 8 скликання від 23 грудня 2020 року №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color w:val="000000"/>
          <w:sz w:val="28"/>
          <w:szCs w:val="28"/>
        </w:rPr>
        <w:t xml:space="preserve">26.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поширення інформації про громаду та метою забезпечення відкритості </w:t>
      </w:r>
      <w:r>
        <w:rPr>
          <w:color w:val="000000"/>
          <w:sz w:val="28"/>
          <w:szCs w:val="28"/>
        </w:rPr>
        <w:t xml:space="preserve">діяльності </w:t>
      </w:r>
      <w:r>
        <w:rPr>
          <w:color w:val="000000"/>
          <w:sz w:val="28"/>
          <w:szCs w:val="28"/>
        </w:rPr>
        <w:t xml:space="preserve">міської ради функціонує веб-сайт громади.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Фінансові показники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Протягом 2022 року виконавчим комітетом Менської міської ТГ спільно з Менським </w:t>
      </w:r>
      <w:r>
        <w:rPr>
          <w:color w:val="000000"/>
          <w:sz w:val="28"/>
          <w:szCs w:val="28"/>
        </w:rPr>
        <w:t xml:space="preserve">управлінням ГУ ДПС у Чернігівській області, депутатським корпу</w:t>
      </w:r>
      <w:r>
        <w:rPr>
          <w:color w:val="000000"/>
          <w:sz w:val="28"/>
          <w:szCs w:val="28"/>
        </w:rPr>
        <w:t xml:space="preserve">сом громади, Фінансовим управлінням, керівниками суб'єктів господарювання вживалися заходи по стабілізації ситуації в усіх сферах життєдіяльності громади, виконання завдань Програми соціально-економічного розвитку території  та виконання місцевого бюджету.</w:t>
      </w:r>
      <w:r>
        <w:rPr>
          <w:color w:val="000000"/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4"/>
          <w:lang w:eastAsia="ru-RU"/>
        </w:rPr>
        <w:t xml:space="preserve">Сьогодні промисловість Менської територіальної громади налічує 13 підприємств основного кола та забезпечує роботою близько 403  осіб.</w:t>
      </w:r>
      <w:r>
        <w:rPr>
          <w:color w:val="000000"/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4"/>
          <w:lang w:eastAsia="ru-RU"/>
        </w:rPr>
        <w:t xml:space="preserve">Наразі функціонують наступні підприємства: </w:t>
      </w:r>
      <w:r>
        <w:rPr>
          <w:color w:val="000000"/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4"/>
          <w:lang w:eastAsia="ru-RU"/>
        </w:rPr>
        <w:t xml:space="preserve">ТОВ «Нептун», ПАТ «Мена ПАК», Державна установа «Менська виправна колонія №91», </w:t>
      </w:r>
      <w:r>
        <w:rPr>
          <w:bCs/>
          <w:color w:val="000000"/>
          <w:sz w:val="28"/>
          <w:szCs w:val="28"/>
          <w:lang w:eastAsia="ru-RU"/>
        </w:rPr>
        <w:t xml:space="preserve">ПрАТ </w:t>
      </w:r>
      <w:r>
        <w:rPr>
          <w:color w:val="000000"/>
          <w:sz w:val="28"/>
          <w:szCs w:val="24"/>
          <w:lang w:eastAsia="ru-RU"/>
        </w:rPr>
        <w:t xml:space="preserve">«</w:t>
      </w:r>
      <w:r>
        <w:rPr>
          <w:bCs/>
          <w:color w:val="000000"/>
          <w:sz w:val="28"/>
          <w:szCs w:val="28"/>
          <w:lang w:eastAsia="ru-RU"/>
        </w:rPr>
        <w:t xml:space="preserve">ШРБУ-82</w:t>
      </w:r>
      <w:r>
        <w:rPr>
          <w:color w:val="000000"/>
          <w:sz w:val="28"/>
          <w:szCs w:val="24"/>
          <w:lang w:eastAsia="ru-RU"/>
        </w:rPr>
        <w:t xml:space="preserve">»,  ТОВ Будівельна компанія «</w:t>
      </w:r>
      <w:r>
        <w:rPr>
          <w:color w:val="000000"/>
          <w:sz w:val="28"/>
          <w:szCs w:val="24"/>
          <w:lang w:eastAsia="ru-RU"/>
        </w:rPr>
        <w:t xml:space="preserve">Волмакс</w:t>
      </w:r>
      <w:r>
        <w:rPr>
          <w:color w:val="000000"/>
          <w:sz w:val="28"/>
          <w:szCs w:val="24"/>
          <w:lang w:eastAsia="ru-RU"/>
        </w:rPr>
        <w:t xml:space="preserve">» та інші.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  <w:lang w:eastAsia="ru-RU"/>
        </w:rPr>
        <w:t xml:space="preserve">Серед найбільших сільськогосподар</w:t>
      </w:r>
      <w:r>
        <w:rPr>
          <w:color w:val="000000"/>
          <w:sz w:val="28"/>
          <w:szCs w:val="28"/>
          <w:lang w:eastAsia="ru-RU"/>
        </w:rPr>
        <w:t xml:space="preserve">ських підприємств: ДП «Зернятко», ТОВ «Мена-Авангард», СТОВ «Олстас-льон», ТОВ «Агроресурс-2006», ФГ «Бутенко» та інші. Загалом на території громади зареєстровані та здійснюють свою діяльність 56 сільськогосподарських підприємств в яких працює 917 чоловік.</w:t>
      </w:r>
      <w:r>
        <w:rPr>
          <w:color w:val="000000"/>
          <w:sz w:val="28"/>
        </w:rPr>
      </w:r>
      <w:r/>
    </w:p>
    <w:p>
      <w:pPr>
        <w:ind w:firstLine="567"/>
        <w:jc w:val="both"/>
        <w:rPr>
          <w:bCs w:val="false"/>
          <w:color w:val="000000"/>
          <w:sz w:val="28"/>
          <w:szCs w:val="28"/>
        </w:rPr>
      </w:pPr>
      <w:r>
        <w:rPr>
          <w:color w:val="000000"/>
          <w:sz w:val="28"/>
        </w:rPr>
      </w:r>
      <w:bookmarkStart w:id="0" w:name="_Hlk84844784"/>
      <w:r>
        <w:rPr>
          <w:color w:val="000000"/>
          <w:sz w:val="28"/>
          <w:szCs w:val="28"/>
        </w:rPr>
        <w:t xml:space="preserve">Найбільше коштів за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022 р</w:t>
      </w:r>
      <w:r>
        <w:rPr>
          <w:color w:val="000000"/>
          <w:sz w:val="28"/>
          <w:szCs w:val="28"/>
        </w:rPr>
        <w:t xml:space="preserve">ік</w:t>
      </w:r>
      <w:r>
        <w:rPr>
          <w:color w:val="000000"/>
          <w:sz w:val="28"/>
          <w:szCs w:val="28"/>
        </w:rPr>
        <w:t xml:space="preserve"> до бюджету Менської міської територіальної громади отримано від податку на доходи з фізичних осіб, плату за землю та єдиного податку. Частка надходжень таких податків від загальної суми отриманих доходів становить </w:t>
      </w:r>
      <w:r>
        <w:rPr>
          <w:color w:val="000000"/>
          <w:sz w:val="28"/>
          <w:szCs w:val="28"/>
        </w:rPr>
        <w:t xml:space="preserve">65,1</w:t>
      </w:r>
      <w:r>
        <w:rPr>
          <w:color w:val="000000"/>
          <w:sz w:val="28"/>
          <w:szCs w:val="28"/>
        </w:rPr>
        <w:t xml:space="preserve">%, </w:t>
      </w:r>
      <w:r>
        <w:rPr>
          <w:color w:val="000000"/>
          <w:sz w:val="28"/>
          <w:szCs w:val="28"/>
        </w:rPr>
        <w:t xml:space="preserve">15,4</w:t>
      </w:r>
      <w:r>
        <w:rPr>
          <w:color w:val="000000"/>
          <w:sz w:val="28"/>
          <w:szCs w:val="28"/>
        </w:rPr>
        <w:t xml:space="preserve">% та </w:t>
      </w:r>
      <w:r>
        <w:rPr>
          <w:color w:val="000000"/>
          <w:sz w:val="28"/>
          <w:szCs w:val="28"/>
        </w:rPr>
        <w:t xml:space="preserve">12,9</w:t>
      </w:r>
      <w:r>
        <w:rPr>
          <w:color w:val="000000"/>
          <w:sz w:val="28"/>
          <w:szCs w:val="28"/>
        </w:rPr>
        <w:t xml:space="preserve">% відповідно. </w:t>
      </w:r>
      <w:bookmarkEnd w:id="0"/>
      <w:r>
        <w:rPr>
          <w:color w:val="000000"/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8"/>
          <w:shd w:val="clear" w:fill="FFFFFF" w:color="auto"/>
        </w:rPr>
      </w:pPr>
      <w:r>
        <w:rPr>
          <w:color w:val="000000"/>
          <w:sz w:val="28"/>
          <w:szCs w:val="28"/>
        </w:rPr>
        <w:t xml:space="preserve">За 2022 р</w:t>
      </w:r>
      <w:r>
        <w:rPr>
          <w:color w:val="000000"/>
          <w:sz w:val="28"/>
          <w:szCs w:val="28"/>
        </w:rPr>
        <w:t xml:space="preserve">ік</w:t>
      </w:r>
      <w:r>
        <w:rPr>
          <w:color w:val="000000"/>
          <w:sz w:val="28"/>
          <w:szCs w:val="28"/>
        </w:rPr>
        <w:t xml:space="preserve"> до бюджету Менської ТГ надійшло </w:t>
      </w:r>
      <w:r>
        <w:rPr>
          <w:color w:val="000000"/>
          <w:sz w:val="28"/>
          <w:szCs w:val="28"/>
        </w:rPr>
        <w:t xml:space="preserve">91157,7</w:t>
      </w:r>
      <w:r>
        <w:rPr>
          <w:color w:val="000000"/>
          <w:sz w:val="28"/>
          <w:szCs w:val="28"/>
        </w:rPr>
        <w:t xml:space="preserve"> тис. гривень податку на доходи фізичних осіб.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 xml:space="preserve">З найбільших платників даного податку слід відзначити </w:t>
      </w:r>
      <w:bookmarkStart w:id="1" w:name="_Hlk84843383"/>
      <w:r>
        <w:rPr>
          <w:color w:val="000000"/>
          <w:sz w:val="28"/>
          <w:szCs w:val="27"/>
        </w:rPr>
        <w:t xml:space="preserve">КНП </w:t>
      </w:r>
      <w:r>
        <w:rPr>
          <w:color w:val="000000"/>
          <w:sz w:val="28"/>
          <w:szCs w:val="28"/>
        </w:rPr>
        <w:t xml:space="preserve">"МЕНСЬКА МІСЬКА ЛІКАРНЯ" МЕНСЬКОЇ МІСЬКОЇ РАДИ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 xml:space="preserve">3,9</w:t>
      </w:r>
      <w:r>
        <w:rPr>
          <w:color w:val="000000"/>
          <w:sz w:val="28"/>
        </w:rPr>
        <w:t xml:space="preserve">% або </w:t>
      </w:r>
      <w:r>
        <w:rPr>
          <w:color w:val="000000"/>
          <w:sz w:val="28"/>
        </w:rPr>
        <w:t xml:space="preserve">5428,8</w:t>
      </w:r>
      <w:r>
        <w:rPr>
          <w:color w:val="000000"/>
          <w:sz w:val="28"/>
        </w:rPr>
        <w:t xml:space="preserve"> тис. грн., ТОВ ДП «ЗЕРНЯТКО» - </w:t>
      </w:r>
      <w:r>
        <w:rPr>
          <w:color w:val="000000"/>
          <w:sz w:val="28"/>
        </w:rPr>
        <w:t xml:space="preserve">4,9</w:t>
      </w:r>
      <w:r>
        <w:rPr>
          <w:color w:val="000000"/>
          <w:sz w:val="28"/>
        </w:rPr>
        <w:t xml:space="preserve">% або </w:t>
      </w:r>
      <w:r>
        <w:rPr>
          <w:color w:val="000000"/>
          <w:sz w:val="28"/>
        </w:rPr>
        <w:t xml:space="preserve">6885,2</w:t>
      </w:r>
      <w:r>
        <w:rPr>
          <w:color w:val="000000"/>
          <w:sz w:val="28"/>
        </w:rPr>
        <w:t xml:space="preserve"> тис. грн., </w:t>
      </w:r>
      <w:r>
        <w:rPr>
          <w:color w:val="000000"/>
          <w:sz w:val="28"/>
        </w:rPr>
        <w:t xml:space="preserve">ТОВ «Мена – Авангард» - 3,</w:t>
      </w:r>
      <w:r>
        <w:rPr>
          <w:color w:val="000000"/>
          <w:sz w:val="28"/>
        </w:rPr>
        <w:t xml:space="preserve">1</w:t>
      </w:r>
      <w:r>
        <w:rPr>
          <w:color w:val="000000"/>
          <w:sz w:val="28"/>
        </w:rPr>
        <w:t xml:space="preserve">% або </w:t>
      </w:r>
      <w:r>
        <w:rPr>
          <w:color w:val="000000"/>
          <w:sz w:val="28"/>
        </w:rPr>
        <w:t xml:space="preserve">4384,2</w:t>
      </w:r>
      <w:r>
        <w:rPr>
          <w:color w:val="000000"/>
          <w:sz w:val="28"/>
        </w:rPr>
        <w:t xml:space="preserve"> тис. грн., МВК №91 – </w:t>
      </w:r>
      <w:r>
        <w:rPr>
          <w:color w:val="000000"/>
          <w:sz w:val="28"/>
        </w:rPr>
        <w:t xml:space="preserve">2,4</w:t>
      </w:r>
      <w:r>
        <w:rPr>
          <w:color w:val="000000"/>
          <w:sz w:val="28"/>
        </w:rPr>
        <w:t xml:space="preserve">% або </w:t>
      </w:r>
      <w:r>
        <w:rPr>
          <w:color w:val="000000"/>
          <w:sz w:val="28"/>
        </w:rPr>
        <w:t xml:space="preserve">3441,9</w:t>
      </w:r>
      <w:r>
        <w:rPr>
          <w:color w:val="000000"/>
          <w:sz w:val="28"/>
        </w:rPr>
        <w:t xml:space="preserve"> тис. грн., </w:t>
      </w:r>
      <w:r>
        <w:rPr>
          <w:color w:val="000000"/>
          <w:sz w:val="28"/>
        </w:rPr>
        <w:t xml:space="preserve">ГУНП в Чернігівській області – </w:t>
      </w:r>
      <w:r>
        <w:rPr>
          <w:color w:val="000000"/>
          <w:sz w:val="28"/>
        </w:rPr>
        <w:t xml:space="preserve">2,7</w:t>
      </w:r>
      <w:r>
        <w:rPr>
          <w:color w:val="000000"/>
          <w:sz w:val="28"/>
        </w:rPr>
        <w:t xml:space="preserve">% або 3789,3 тис. грн.,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Чернігівський ОТЦК та СП – 2,</w:t>
      </w:r>
      <w:r>
        <w:rPr>
          <w:color w:val="000000"/>
          <w:sz w:val="28"/>
        </w:rPr>
        <w:t xml:space="preserve">1</w:t>
      </w:r>
      <w:r>
        <w:rPr>
          <w:color w:val="000000"/>
          <w:sz w:val="28"/>
        </w:rPr>
        <w:t xml:space="preserve">% або 2939,9 тис. грн</w:t>
      </w:r>
      <w:r>
        <w:rPr>
          <w:color w:val="000000"/>
          <w:sz w:val="28"/>
        </w:rPr>
        <w:t xml:space="preserve">., ФГ Бутенко – 1,4% або 1893,1 тис. грн</w:t>
      </w:r>
      <w:r>
        <w:rPr>
          <w:color w:val="000000"/>
          <w:sz w:val="28"/>
        </w:rPr>
        <w:t xml:space="preserve">., </w:t>
      </w:r>
      <w:r>
        <w:rPr>
          <w:color w:val="000000"/>
          <w:sz w:val="28"/>
        </w:rPr>
        <w:t xml:space="preserve">Менська гімназія – 1,6% або 2171,9 тис. грн., Менський ОЗЗЗСО І-ІІІ ст. ім. Т.Г. Шевченка – 1,</w:t>
      </w:r>
      <w:r>
        <w:rPr>
          <w:color w:val="000000"/>
          <w:sz w:val="28"/>
        </w:rPr>
        <w:t xml:space="preserve">5</w:t>
      </w:r>
      <w:r>
        <w:rPr>
          <w:color w:val="000000"/>
          <w:sz w:val="28"/>
        </w:rPr>
        <w:t xml:space="preserve">% або 2034,5 тис. грн., КНП  МЕНСЬКИЙ ЦЕНТР ПМСД – 1,5% або 1808,8 тис</w:t>
      </w:r>
      <w:r>
        <w:rPr>
          <w:color w:val="000000"/>
          <w:sz w:val="28"/>
        </w:rPr>
        <w:t xml:space="preserve">. грн., АТ "МЕНА ПАК" – 1,5% або 1794,7 тис. грн.,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2 ДПРЗ ГУ ДСНС України у Чернігів. обл. – 1,3% або 1860,3 тис. грн.,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АТ ЧЕРНІГІВГАЗ – 1,2% або 1669,2 тис. грн..</w:t>
      </w:r>
      <w:r>
        <w:rPr>
          <w:color w:val="000000"/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8"/>
          <w:shd w:val="clear" w:fill="FFFFFF" w:color="auto"/>
        </w:rPr>
      </w:pPr>
      <w:r>
        <w:rPr>
          <w:color w:val="000000"/>
          <w:sz w:val="28"/>
        </w:rPr>
        <w:t xml:space="preserve">Акцизного податку з роздрібної торгівлі підакцизних товарів сплачено </w:t>
      </w:r>
      <w:r>
        <w:rPr>
          <w:color w:val="000000"/>
          <w:sz w:val="28"/>
          <w:lang w:val="ru-RU"/>
        </w:rPr>
        <w:t xml:space="preserve">1272,2</w:t>
      </w:r>
      <w:r>
        <w:rPr>
          <w:color w:val="000000"/>
          <w:sz w:val="28"/>
        </w:rPr>
        <w:t xml:space="preserve"> тис. грн..</w:t>
      </w:r>
      <w:r>
        <w:rPr>
          <w:color w:val="000000"/>
          <w:sz w:val="28"/>
          <w:szCs w:val="28"/>
        </w:rPr>
        <w:t xml:space="preserve"> Найбільшим платником даного податку являється ТОВ"АТБ-маркет" – </w:t>
      </w:r>
      <w:r>
        <w:rPr>
          <w:color w:val="000000"/>
          <w:sz w:val="28"/>
          <w:szCs w:val="28"/>
          <w:lang w:val="ru-RU"/>
        </w:rPr>
        <w:t xml:space="preserve">976,4</w:t>
      </w:r>
      <w:r>
        <w:rPr>
          <w:color w:val="000000"/>
          <w:sz w:val="28"/>
          <w:szCs w:val="28"/>
        </w:rPr>
        <w:t xml:space="preserve"> тис. грн.. </w:t>
      </w:r>
      <w:bookmarkEnd w:id="1"/>
      <w:r>
        <w:rPr>
          <w:color w:val="000000"/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Земельного податку з юридичних осіб сплачено </w:t>
      </w:r>
      <w:r>
        <w:rPr>
          <w:color w:val="000000"/>
          <w:sz w:val="28"/>
          <w:szCs w:val="28"/>
          <w:lang w:val="ru-RU"/>
        </w:rPr>
        <w:t xml:space="preserve">2452,9</w:t>
      </w:r>
      <w:r>
        <w:rPr>
          <w:color w:val="000000"/>
          <w:sz w:val="28"/>
          <w:szCs w:val="28"/>
        </w:rPr>
        <w:t xml:space="preserve"> тис. грн. (5,8% надходжень всіх місцевих податків та зборів). Найбільшими платника даного податку є АТ «УКРЗАЛІЗНИЦЯ» - 27,0% від надходжень земельного податку з юридичних осіб або 661,3 тис. грн., ТОВ "ДП ЗЕРНЯТКО" – 14,1% або 346,0 тис. грн.,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АТ Чернігівгаз – 13,6% або 334,4 тис. грн., </w:t>
      </w:r>
      <w:r>
        <w:rPr>
          <w:color w:val="000000"/>
          <w:sz w:val="28"/>
          <w:szCs w:val="28"/>
        </w:rPr>
        <w:t xml:space="preserve">АКЦІОНЕРНЕ ТОВАРИСТВО "ДЕРЖАВНА ПРОДОВОЛЬЧО-ЗЕРНОВА КОРПОРАЦІЯ УКРАЇНИ"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9,8% або 241,5 тис. грн., ТОВ "Урожай Агро Експорт" – 9,1% або 224,4 тис. грн.,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szCs w:val="28"/>
        </w:rPr>
        <w:t xml:space="preserve">ПрАТ "ШРБУ N82" – 8,6% або 210,8 тис. грн..</w:t>
      </w:r>
      <w:r>
        <w:rPr>
          <w:color w:val="000000"/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Орендної плати з юридичних осіб сплачено </w:t>
      </w:r>
      <w:r>
        <w:rPr>
          <w:color w:val="000000"/>
          <w:sz w:val="28"/>
          <w:szCs w:val="28"/>
          <w:lang w:val="ru-RU"/>
        </w:rPr>
        <w:t xml:space="preserve">16446,07</w:t>
      </w:r>
      <w:r>
        <w:rPr>
          <w:color w:val="000000"/>
          <w:sz w:val="28"/>
          <w:szCs w:val="28"/>
        </w:rPr>
        <w:t xml:space="preserve"> тис. грн. (39,0</w:t>
      </w:r>
      <w:r>
        <w:rPr>
          <w:color w:val="000000"/>
          <w:sz w:val="28"/>
          <w:szCs w:val="28"/>
          <w:lang w:val="ru-RU"/>
        </w:rPr>
        <w:t xml:space="preserve">%</w:t>
      </w:r>
      <w:r>
        <w:rPr>
          <w:color w:val="000000"/>
          <w:sz w:val="28"/>
          <w:szCs w:val="28"/>
        </w:rPr>
        <w:t xml:space="preserve"> надходжень вс</w:t>
      </w:r>
      <w:r>
        <w:rPr>
          <w:color w:val="000000"/>
          <w:sz w:val="28"/>
          <w:szCs w:val="28"/>
        </w:rPr>
        <w:t xml:space="preserve">іх місцевих податків та зборів). Найбільшими платника даного податку являються ТОВ Куковицьке – 12,9% або 2125,5 тис. грн., ФГ «Бутенко» - 8,9% або 1464,4 тис. грн., ТОВ "САНВІН 28" – 7,4% або 1213,1 тис. грн., ТОВ "ДП ЗЕРНЯТКО" – 5,4% або 891,6 тис. грн.,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ТОВ "СОЛАГРО" – 4,0% або 661,7 тис. грн., Фермерське господар-во "</w:t>
      </w:r>
      <w:r>
        <w:rPr>
          <w:color w:val="000000"/>
          <w:sz w:val="28"/>
          <w:szCs w:val="28"/>
        </w:rPr>
        <w:t xml:space="preserve">Зелений </w:t>
      </w:r>
      <w:r>
        <w:rPr>
          <w:color w:val="000000"/>
          <w:sz w:val="28"/>
          <w:szCs w:val="28"/>
        </w:rPr>
        <w:t xml:space="preserve">Обрiй</w:t>
      </w:r>
      <w:r>
        <w:rPr>
          <w:color w:val="000000"/>
          <w:sz w:val="28"/>
          <w:szCs w:val="28"/>
        </w:rPr>
        <w:t xml:space="preserve">" – 4,4% або 717,5 тис. грн.,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СТОВ  "ЩОРССІЛЬГОСПСЕРВІС"</w:t>
      </w:r>
      <w:r>
        <w:rPr>
          <w:color w:val="000000"/>
          <w:sz w:val="28"/>
          <w:szCs w:val="28"/>
        </w:rPr>
        <w:t xml:space="preserve"> – 4,0% або 663,5 тис. грн.,</w:t>
      </w:r>
      <w:r>
        <w:rPr>
          <w:color w:val="000000"/>
          <w:sz w:val="28"/>
          <w:szCs w:val="28"/>
        </w:rPr>
        <w:t xml:space="preserve"> ТОВ "МЕНА-АВАНГАРД" – 2,4% або 400,7 тис. грн., </w:t>
      </w:r>
      <w:bookmarkStart w:id="2" w:name="_Hlk84841338"/>
      <w:r>
        <w:rPr>
          <w:color w:val="000000"/>
          <w:sz w:val="28"/>
          <w:szCs w:val="28"/>
        </w:rPr>
        <w:t xml:space="preserve">ПрАТ "Менське </w:t>
      </w:r>
      <w:r>
        <w:rPr>
          <w:color w:val="000000"/>
          <w:sz w:val="28"/>
          <w:szCs w:val="28"/>
        </w:rPr>
        <w:t xml:space="preserve">племпідприємство</w:t>
      </w:r>
      <w:r>
        <w:rPr>
          <w:color w:val="000000"/>
          <w:sz w:val="28"/>
          <w:szCs w:val="28"/>
        </w:rPr>
        <w:t xml:space="preserve">" – 2,8% </w:t>
      </w:r>
      <w:r>
        <w:rPr>
          <w:color w:val="000000"/>
          <w:sz w:val="28"/>
          <w:szCs w:val="28"/>
        </w:rPr>
        <w:t xml:space="preserve">або 468,2 тис. грн., ТОВ "АГРОРЕСУРС-2006" – 3,3% або 536,0 тис. грн., ТОВ </w:t>
      </w:r>
      <w:r>
        <w:rPr>
          <w:color w:val="000000"/>
          <w:sz w:val="28"/>
          <w:szCs w:val="28"/>
        </w:rPr>
        <w:t xml:space="preserve">“УСПІХ</w:t>
      </w:r>
      <w:r>
        <w:rPr>
          <w:color w:val="000000"/>
          <w:sz w:val="28"/>
          <w:szCs w:val="28"/>
        </w:rPr>
        <w:t xml:space="preserve">-МЕНА” – 2,8% або 456,9 тис. грн., ФК Ковбаси В.О. – 3,8% або 621,2 тис. грн.</w:t>
      </w:r>
      <w:bookmarkEnd w:id="2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ТОВ "ПРАЦЯ СТОЛЬНЕ"</w:t>
      </w:r>
      <w:r>
        <w:rPr>
          <w:color w:val="000000"/>
          <w:sz w:val="28"/>
          <w:szCs w:val="28"/>
        </w:rPr>
        <w:t xml:space="preserve"> – 2,7% або 442,2 тис. грн., </w:t>
      </w:r>
      <w:r>
        <w:rPr>
          <w:color w:val="000000"/>
          <w:sz w:val="28"/>
          <w:szCs w:val="28"/>
        </w:rPr>
        <w:t xml:space="preserve">БУТЕНКОВЕ, ФГ</w:t>
      </w:r>
      <w:r>
        <w:rPr>
          <w:color w:val="000000"/>
          <w:sz w:val="28"/>
          <w:szCs w:val="28"/>
        </w:rPr>
        <w:t xml:space="preserve"> – 2,6% або 422,6 тис. грн..</w:t>
      </w:r>
      <w:r>
        <w:rPr>
          <w:color w:val="000000"/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8"/>
          <w:shd w:val="clear" w:fill="FFFFFF" w:color="auto"/>
        </w:rPr>
      </w:pPr>
      <w:r>
        <w:rPr>
          <w:color w:val="000000"/>
          <w:sz w:val="28"/>
          <w:szCs w:val="28"/>
        </w:rPr>
        <w:t xml:space="preserve">Земель</w:t>
      </w:r>
      <w:r>
        <w:rPr>
          <w:color w:val="000000"/>
          <w:sz w:val="28"/>
          <w:szCs w:val="28"/>
        </w:rPr>
        <w:t xml:space="preserve">ного податку та орендної палати з фізичних осіб становить 688,11 тис. грн. та 1982,01 тис. грн. відповідно.</w:t>
      </w:r>
      <w:r>
        <w:rPr>
          <w:color w:val="000000"/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Податку на не</w:t>
      </w:r>
      <w:r>
        <w:rPr>
          <w:color w:val="000000"/>
          <w:sz w:val="28"/>
          <w:szCs w:val="28"/>
        </w:rPr>
        <w:t xml:space="preserve">рухоме майно до громади надійшло </w:t>
      </w:r>
      <w:r>
        <w:rPr>
          <w:color w:val="000000"/>
          <w:sz w:val="28"/>
          <w:szCs w:val="28"/>
          <w:lang w:val="ru-RU"/>
        </w:rPr>
        <w:t xml:space="preserve">2330,49</w:t>
      </w:r>
      <w:r>
        <w:rPr>
          <w:color w:val="000000"/>
          <w:sz w:val="28"/>
          <w:szCs w:val="28"/>
        </w:rPr>
        <w:t xml:space="preserve"> тис. грн.. Найбільшими платниками такого виду податку стали АТ ЧЕРНІГІВГАЗ, який сплатив - </w:t>
      </w:r>
      <w:r>
        <w:rPr>
          <w:color w:val="000000"/>
          <w:sz w:val="28"/>
          <w:szCs w:val="28"/>
          <w:lang w:val="ru-RU"/>
        </w:rPr>
        <w:t xml:space="preserve">169,3</w:t>
      </w:r>
      <w:r>
        <w:rPr>
          <w:color w:val="000000"/>
          <w:sz w:val="28"/>
          <w:szCs w:val="28"/>
        </w:rPr>
        <w:t xml:space="preserve"> тис. грн., ТОВ НЕПТУН – 121,4 тис. грн. та ТОВ "ДП </w:t>
      </w:r>
      <w:r>
        <w:rPr>
          <w:color w:val="000000"/>
          <w:sz w:val="28"/>
          <w:szCs w:val="28"/>
        </w:rPr>
        <w:t xml:space="preserve">ЗЕРНЯТКО" - 101,7 тис. грн..</w:t>
      </w:r>
      <w:r>
        <w:rPr>
          <w:color w:val="000000"/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Єдиного податку зібрано на території громади 18102,75 тис. грн.. </w:t>
      </w:r>
      <w:r>
        <w:rPr>
          <w:color w:val="000000"/>
          <w:sz w:val="28"/>
          <w:szCs w:val="28"/>
        </w:rPr>
        <w:t xml:space="preserve">Найбільшим платниками податку з фізичних осіб є ФОП ПИЛИПЕНКО О.О. – 315,2 тис. грн., ФОП Сова С.Г. – 247,6 тис. грн., ФОП </w:t>
      </w:r>
      <w:r>
        <w:rPr>
          <w:color w:val="000000"/>
          <w:sz w:val="28"/>
          <w:szCs w:val="28"/>
        </w:rPr>
        <w:t xml:space="preserve">Бенько</w:t>
      </w:r>
      <w:r>
        <w:rPr>
          <w:color w:val="000000"/>
          <w:sz w:val="28"/>
          <w:szCs w:val="28"/>
        </w:rPr>
        <w:t xml:space="preserve"> В.В. – 259,6 тис. грн., ФОП </w:t>
      </w:r>
      <w:r>
        <w:rPr>
          <w:color w:val="000000"/>
          <w:sz w:val="28"/>
          <w:szCs w:val="28"/>
        </w:rPr>
        <w:t xml:space="preserve">Білдюк</w:t>
      </w:r>
      <w:r>
        <w:rPr>
          <w:color w:val="000000"/>
          <w:sz w:val="28"/>
          <w:szCs w:val="28"/>
        </w:rPr>
        <w:t xml:space="preserve"> С.О. – 189,6 тис. грн., ФОП Сова Г.Г. –203,6 тис. грн., ФОП ГАРКУША М.М. – 179,5 тис. грн., ФОП Булавка В.О. – 207,2 тис. грн., ФОП </w:t>
      </w:r>
      <w:r>
        <w:rPr>
          <w:color w:val="000000"/>
          <w:sz w:val="28"/>
          <w:szCs w:val="28"/>
        </w:rPr>
        <w:t xml:space="preserve">Жаловська</w:t>
      </w:r>
      <w:r>
        <w:rPr>
          <w:color w:val="000000"/>
          <w:sz w:val="28"/>
          <w:szCs w:val="28"/>
        </w:rPr>
        <w:t xml:space="preserve"> О.О. –178,5 тис. грн..</w:t>
      </w:r>
      <w:r>
        <w:rPr>
          <w:color w:val="000000"/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Найбільшим платниками податку з сільськогосподарських товаровиробників є ТОВ «Мена-Авангард»  - 894,7 тис. грн., ТОВ «ДП </w:t>
      </w:r>
      <w:r>
        <w:rPr>
          <w:color w:val="000000"/>
          <w:sz w:val="28"/>
          <w:szCs w:val="28"/>
        </w:rPr>
        <w:t xml:space="preserve">ЗЕРНЯТКО» - 687,4 тис. грн., СТОВ «Олстас-льон»  - 620,1 тис. грн., ТОВ Куковицьке – 620,5 тис. грн., ТОВ «Агроресур-2006» - 503,0 тис. грн., СТОВ «Олстас-</w:t>
      </w:r>
      <w:r>
        <w:rPr>
          <w:color w:val="000000"/>
          <w:sz w:val="28"/>
          <w:szCs w:val="28"/>
        </w:rPr>
        <w:t xml:space="preserve">агро</w:t>
      </w:r>
      <w:r>
        <w:rPr>
          <w:color w:val="000000"/>
          <w:sz w:val="28"/>
          <w:szCs w:val="28"/>
        </w:rPr>
        <w:t xml:space="preserve">» - 490,0 тис. грн., ФГ Бутенко – 493,9 тис. грн., ТОВ УСПІХ-МЕНА» - 333,3 тис. грн..</w:t>
      </w:r>
      <w:r>
        <w:rPr>
          <w:color w:val="000000"/>
          <w:sz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Плат</w:t>
      </w:r>
      <w:r>
        <w:rPr>
          <w:sz w:val="28"/>
          <w:szCs w:val="28"/>
        </w:rPr>
        <w:t xml:space="preserve">а за надання адміністративних послуг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сплачено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 розмірі 2874,1 тис. грн</w:t>
      </w:r>
      <w:r>
        <w:rPr>
          <w:sz w:val="28"/>
          <w:szCs w:val="28"/>
          <w:lang w:val="ru-RU"/>
        </w:rPr>
        <w:t xml:space="preserve">..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center"/>
        <w:rPr>
          <w:b/>
          <w:bCs/>
          <w:sz w:val="28"/>
          <w:shd w:val="clear" w:fill="FFFFFF" w:color="auto"/>
        </w:rPr>
      </w:pPr>
      <w:r>
        <w:rPr>
          <w:b/>
          <w:bCs/>
          <w:sz w:val="28"/>
          <w:shd w:val="clear" w:fill="FFFFFF" w:color="auto"/>
        </w:rPr>
      </w:r>
      <w:r/>
    </w:p>
    <w:p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hd w:val="clear" w:fill="FFFFFF" w:color="auto"/>
        </w:rPr>
        <w:t xml:space="preserve">Житлово-комунальне господарство</w:t>
      </w:r>
      <w:r/>
    </w:p>
    <w:p>
      <w:pPr>
        <w:ind w:firstLine="567"/>
        <w:jc w:val="both"/>
        <w:rPr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  <w:lang w:eastAsia="en-US"/>
        </w:rPr>
        <w:t xml:space="preserve">Місто Мена по площі одне з найбільших міст східної зони області. В місті більше 130</w:t>
      </w:r>
      <w:r>
        <w:rPr>
          <w:bCs/>
          <w:sz w:val="28"/>
          <w:szCs w:val="28"/>
          <w:lang w:eastAsia="en-US"/>
        </w:rPr>
        <w:t xml:space="preserve"> вулиць та провулків. Протяжність міських доріг більша 86 км. Площа території міста складає загалом 1568,4 га.</w:t>
      </w:r>
      <w:r>
        <w:rPr>
          <w:sz w:val="28"/>
        </w:rPr>
      </w:r>
      <w:r/>
    </w:p>
    <w:p>
      <w:pPr>
        <w:ind w:firstLine="567"/>
        <w:jc w:val="both"/>
        <w:rPr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  <w:lang w:eastAsia="en-US"/>
        </w:rPr>
        <w:t xml:space="preserve">У місті налічується 62 багатоквартирних будинки, в яких знаходиться 1023 квартири. 48 багатоквартирних будинків розміщено на територіях старостинських округів громади.</w:t>
      </w:r>
      <w:r>
        <w:rPr>
          <w:sz w:val="28"/>
        </w:rPr>
      </w:r>
      <w:r/>
    </w:p>
    <w:p>
      <w:pPr>
        <w:ind w:firstLine="567"/>
        <w:jc w:val="both"/>
        <w:rPr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  <w:lang w:eastAsia="en-US"/>
        </w:rPr>
        <w:t xml:space="preserve">Загальна протяжність водопровідної мережі в м. Мена становить 48,05 км., каналізаційної - 13,072 км. Окрім міс</w:t>
      </w:r>
      <w:r>
        <w:rPr>
          <w:bCs/>
          <w:sz w:val="28"/>
          <w:szCs w:val="28"/>
          <w:lang w:eastAsia="en-US"/>
        </w:rPr>
        <w:t xml:space="preserve">та Мена, централізоване водопостачання наявне ще в 9 населених пунктах громади, а саме в селах Блистова (2 км), Величківка (21,5 км), Бірківка (0,6 км), Ліски (1,5 км), Слобідка (2,2 км), Стольне (3,4 км) та селищі міського типу Макошине (0,8 км). Деякі ме</w:t>
      </w:r>
      <w:r>
        <w:rPr>
          <w:bCs/>
          <w:sz w:val="28"/>
          <w:szCs w:val="28"/>
          <w:lang w:eastAsia="en-US"/>
        </w:rPr>
        <w:t xml:space="preserve">режі перебувають в незадовільному стані, а саме в селах Величківка, Ліски та Бірківка. Проводиться робота по впорядкуванню відрізків мережі водопостачання комунальної власності в. м. Мена, які є частиною цілісного майнового комплексу мережі водопостачання.</w:t>
      </w:r>
      <w:r>
        <w:rPr>
          <w:sz w:val="28"/>
        </w:rPr>
      </w:r>
      <w:r/>
    </w:p>
    <w:p>
      <w:pPr>
        <w:ind w:firstLine="567"/>
        <w:jc w:val="both"/>
        <w:rPr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  <w:lang w:eastAsia="en-US"/>
        </w:rPr>
        <w:t xml:space="preserve">На даний час в місті відсутні робочі очисні споруди, і місто користується очисними спорудами ПП КФ «Прометей» філії «Менський сир». Одним з основних завдань на найближчу перспективу є відновлення </w:t>
      </w:r>
      <w:r>
        <w:rPr>
          <w:bCs/>
          <w:sz w:val="28"/>
          <w:szCs w:val="28"/>
          <w:lang w:eastAsia="en-US"/>
        </w:rPr>
        <w:t xml:space="preserve">роботи міських очисних споруд. На даний час Менською міською радою замовлено розробку проектно-кошторисної документації по робочому проекту «Реконструкція очисних споруд в м. Мена Чернігівської області». Орієнтовна вартість робіт по їх відновленню складає </w:t>
      </w:r>
      <w:r>
        <w:rPr>
          <w:bCs/>
          <w:sz w:val="28"/>
          <w:szCs w:val="28"/>
          <w:lang w:eastAsia="en-US"/>
        </w:rPr>
        <w:t xml:space="preserve">3</w:t>
      </w:r>
      <w:r>
        <w:rPr>
          <w:bCs/>
          <w:sz w:val="28"/>
          <w:szCs w:val="28"/>
          <w:lang w:eastAsia="en-US"/>
        </w:rPr>
        <w:t xml:space="preserve">0 млн. грн., на що планується залучити кошти державного бюджету або міжнародних фінансових інституцій. Розроблений детальний план території під експлуатацію очисних споруд.</w:t>
      </w:r>
      <w:r>
        <w:rPr>
          <w:sz w:val="28"/>
        </w:rPr>
      </w:r>
      <w:r/>
    </w:p>
    <w:p>
      <w:pPr>
        <w:ind w:firstLine="567"/>
        <w:jc w:val="both"/>
        <w:rPr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  <w:lang w:eastAsia="en-US"/>
        </w:rPr>
        <w:t xml:space="preserve">На території міста Мена є в наявності паспортизоване сміттєзвалище площею 6,1266 га, яке розраховано на 25 років. Також паспортизоване сміттєзвалище в с. Блистова площею 1 га, се</w:t>
      </w:r>
      <w:r>
        <w:rPr>
          <w:bCs/>
          <w:sz w:val="28"/>
          <w:szCs w:val="28"/>
          <w:lang w:eastAsia="en-US"/>
        </w:rPr>
        <w:t xml:space="preserve">ло Покровське площею 1,5 га. Виконавцем послуг по утриманню МВВ та з вивезення твердих побутових відходів на території Менської міської територіальної громади є КП «Менакомунпослуга» Менської міської ради. Очікуються результати проведення щорічної ревізії </w:t>
      </w:r>
      <w:r>
        <w:rPr>
          <w:bCs/>
          <w:sz w:val="28"/>
          <w:szCs w:val="28"/>
          <w:lang w:eastAsia="en-US"/>
        </w:rPr>
        <w:t xml:space="preserve">на наявні паспортизовані сміттєзвалища ТПВ. Для всіх населених пунктів громади планується дотримуватися пріоритетів визначених «Національною Стратегією управління відходами до 2030 року» та «Національного плану управління відходами в Україні до 2030 року».</w:t>
      </w:r>
      <w:r>
        <w:rPr>
          <w:sz w:val="28"/>
        </w:rPr>
      </w:r>
      <w:r/>
    </w:p>
    <w:p>
      <w:pPr>
        <w:ind w:firstLine="567"/>
        <w:jc w:val="both"/>
        <w:rPr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  <w:lang w:eastAsia="en-US"/>
        </w:rPr>
        <w:t xml:space="preserve">Була проведена комісійна робота з обстеження, постановки на баланс, списання  колодязів по населеним пунктам громади для їх подальшого впорядкування та приведення в належний стан</w:t>
      </w:r>
      <w:r>
        <w:rPr>
          <w:bCs/>
          <w:sz w:val="28"/>
          <w:szCs w:val="28"/>
          <w:lang w:eastAsia="en-US"/>
        </w:rPr>
        <w:t xml:space="preserve">. На даний час активно реалізуємо </w:t>
      </w:r>
      <w:r>
        <w:rPr>
          <w:bCs/>
          <w:sz w:val="28"/>
          <w:szCs w:val="28"/>
          <w:lang w:eastAsia="en-US"/>
        </w:rPr>
        <w:t xml:space="preserve">проєкт</w:t>
      </w:r>
      <w:r>
        <w:rPr>
          <w:bCs/>
          <w:sz w:val="28"/>
          <w:szCs w:val="28"/>
          <w:lang w:eastAsia="en-US"/>
        </w:rPr>
        <w:t xml:space="preserve"> «Покращення доступності та якості питної води на території Менської ТГ»</w:t>
      </w:r>
      <w:r>
        <w:rPr>
          <w:bCs/>
          <w:sz w:val="28"/>
          <w:szCs w:val="28"/>
          <w:lang w:eastAsia="en-US"/>
        </w:rPr>
        <w:t xml:space="preserve"> спільно з ГО «ДІМ» та ПРООН, за результатами якого будуть почищені та облаштовані 48 колодязів загального користування в населених пунктах нашої громади.</w:t>
      </w:r>
      <w:r>
        <w:rPr>
          <w:sz w:val="28"/>
        </w:rPr>
      </w:r>
      <w:r/>
    </w:p>
    <w:p>
      <w:pPr>
        <w:ind w:firstLine="567"/>
        <w:jc w:val="both"/>
        <w:rPr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  <w:lang w:eastAsia="en-US"/>
        </w:rPr>
        <w:t xml:space="preserve">На балансі міської, селищної та сільських рад громади знаходиться 375,626 км дорожніх мереж. На даний час у населених пунктах громади значна кількість доріг з асфальтовим покриттям потребують проведення капітального ремонту.</w:t>
      </w:r>
      <w:r>
        <w:rPr>
          <w:sz w:val="28"/>
        </w:rPr>
      </w:r>
      <w:r/>
    </w:p>
    <w:p>
      <w:pPr>
        <w:ind w:firstLine="567"/>
        <w:jc w:val="both"/>
        <w:rPr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  <w:lang w:eastAsia="en-US"/>
        </w:rPr>
        <w:t xml:space="preserve">При Менській міській раді діє комунальне підприємство КП «Менакомунпослуга», яке надає послуги </w:t>
      </w:r>
      <w:r>
        <w:rPr>
          <w:bCs/>
          <w:sz w:val="28"/>
          <w:szCs w:val="28"/>
          <w:lang w:eastAsia="en-US"/>
        </w:rPr>
        <w:t xml:space="preserve">з вивезення твердих та рідких побутових відходів по місту та населеним пунктам громади, благоустрою, послуги лазні, обслуговування систем вуличного освітлення громади. Проведено конкурс з визначення надавача послуг вивезення ТПВ на території всієї громади,</w:t>
      </w:r>
      <w:r>
        <w:rPr>
          <w:bCs/>
          <w:sz w:val="28"/>
          <w:szCs w:val="28"/>
          <w:lang w:eastAsia="en-US"/>
        </w:rPr>
        <w:t xml:space="preserve"> крім населених пунктів де відсутнє логістичне сполучення. Для ефективної роботи комунального підприємства КП «Менакомунпослуга» необхідно закуповувати контейнери для збору сміття, оновлювати техніку та забезпечити закупівлю обладнання для наявної техніки.</w:t>
      </w:r>
      <w:r>
        <w:rPr>
          <w:sz w:val="28"/>
        </w:rPr>
      </w:r>
      <w:r/>
    </w:p>
    <w:p>
      <w:pPr>
        <w:ind w:firstLine="567"/>
        <w:jc w:val="both"/>
        <w:rPr>
          <w:bCs/>
          <w:sz w:val="28"/>
          <w:szCs w:val="28"/>
          <w:lang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  <w:lang w:eastAsia="en-US"/>
        </w:rPr>
        <w:t xml:space="preserve">Проводиться робота з об’єктами комунальної власності, а саме: прийняття на баланс, пере</w:t>
      </w:r>
      <w:r>
        <w:rPr>
          <w:bCs/>
          <w:sz w:val="28"/>
          <w:szCs w:val="28"/>
          <w:lang w:eastAsia="en-US"/>
        </w:rPr>
        <w:t xml:space="preserve">дача в оперативне управління або господарське відання установам чи відділам, а при необхідності списання  з балансу Менської міської ради.</w:t>
      </w:r>
      <w:r/>
    </w:p>
    <w:p>
      <w:pPr>
        <w:ind w:firstLine="709"/>
        <w:jc w:val="both"/>
        <w:rPr>
          <w:bCs/>
          <w:sz w:val="28"/>
          <w:szCs w:val="28"/>
          <w:lang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  <w:lang w:eastAsia="en-US"/>
        </w:rPr>
      </w:r>
      <w:r/>
    </w:p>
    <w:p>
      <w:pPr>
        <w:ind w:firstLine="709"/>
        <w:jc w:val="center"/>
        <w:rPr>
          <w:b/>
          <w:sz w:val="28"/>
          <w:szCs w:val="28"/>
          <w:lang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sz w:val="28"/>
          <w:szCs w:val="28"/>
          <w:lang w:eastAsia="en-US"/>
        </w:rPr>
        <w:t xml:space="preserve">Архітектура та містобудування</w:t>
      </w:r>
      <w:r/>
    </w:p>
    <w:p>
      <w:pPr>
        <w:ind w:firstLine="567"/>
        <w:jc w:val="both"/>
        <w:rPr>
          <w:sz w:val="28"/>
          <w:szCs w:val="28"/>
          <w:lang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У 2022  році з</w:t>
      </w:r>
      <w:r>
        <w:rPr>
          <w:sz w:val="28"/>
          <w:szCs w:val="28"/>
        </w:rPr>
        <w:t xml:space="preserve">дійснювалось</w:t>
      </w:r>
      <w:r>
        <w:rPr>
          <w:sz w:val="28"/>
          <w:szCs w:val="28"/>
        </w:rPr>
        <w:t xml:space="preserve"> експлуатаційн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утримання та ремонт вулиць і доріг к</w:t>
      </w:r>
      <w:r>
        <w:rPr>
          <w:sz w:val="28"/>
          <w:szCs w:val="28"/>
          <w:lang w:eastAsia="en-US"/>
        </w:rPr>
        <w:t xml:space="preserve">омунальної власності. </w:t>
      </w:r>
      <w:r>
        <w:rPr>
          <w:sz w:val="28"/>
          <w:szCs w:val="28"/>
          <w:lang w:eastAsia="en-US"/>
        </w:rPr>
        <w:t xml:space="preserve">Проведено ямковий ремонт асфальтобетонного покриття вулиці та провулку  Шевченка, вулиць Армійська, </w:t>
      </w:r>
      <w:r>
        <w:rPr>
          <w:sz w:val="28"/>
          <w:szCs w:val="28"/>
          <w:lang w:eastAsia="en-US"/>
        </w:rPr>
        <w:t xml:space="preserve">Григорія Кочура (</w:t>
      </w:r>
      <w:r>
        <w:rPr>
          <w:sz w:val="28"/>
          <w:szCs w:val="28"/>
          <w:lang w:eastAsia="en-US"/>
        </w:rPr>
        <w:t xml:space="preserve">Сидоренка</w:t>
      </w:r>
      <w:r>
        <w:rPr>
          <w:sz w:val="28"/>
          <w:szCs w:val="28"/>
          <w:lang w:eastAsia="en-US"/>
        </w:rPr>
        <w:t xml:space="preserve">)</w:t>
      </w:r>
      <w:r>
        <w:rPr>
          <w:sz w:val="28"/>
          <w:szCs w:val="28"/>
          <w:lang w:eastAsia="en-US"/>
        </w:rPr>
        <w:t xml:space="preserve">, Вокзальна, Бузкова, </w:t>
      </w:r>
      <w:r>
        <w:rPr>
          <w:sz w:val="28"/>
          <w:szCs w:val="28"/>
          <w:lang w:eastAsia="en-US"/>
        </w:rPr>
        <w:t xml:space="preserve">Гетьманська (</w:t>
      </w:r>
      <w:r>
        <w:rPr>
          <w:sz w:val="28"/>
          <w:szCs w:val="28"/>
          <w:lang w:eastAsia="en-US"/>
        </w:rPr>
        <w:t xml:space="preserve">Гагаріна</w:t>
      </w:r>
      <w:r>
        <w:rPr>
          <w:sz w:val="28"/>
          <w:szCs w:val="28"/>
          <w:lang w:eastAsia="en-US"/>
        </w:rPr>
        <w:t xml:space="preserve">)</w:t>
      </w:r>
      <w:r>
        <w:rPr>
          <w:sz w:val="28"/>
          <w:szCs w:val="28"/>
          <w:lang w:eastAsia="en-US"/>
        </w:rPr>
        <w:t xml:space="preserve">, Шкільна, </w:t>
      </w:r>
      <w:r>
        <w:rPr>
          <w:sz w:val="28"/>
          <w:szCs w:val="28"/>
          <w:lang w:eastAsia="en-US"/>
        </w:rPr>
        <w:t xml:space="preserve">Левка Симиренка (</w:t>
      </w:r>
      <w:r>
        <w:rPr>
          <w:sz w:val="28"/>
          <w:szCs w:val="28"/>
          <w:lang w:eastAsia="en-US"/>
        </w:rPr>
        <w:t xml:space="preserve">Мічуріна</w:t>
      </w:r>
      <w:r>
        <w:rPr>
          <w:sz w:val="28"/>
          <w:szCs w:val="28"/>
          <w:lang w:eastAsia="en-US"/>
        </w:rPr>
        <w:t xml:space="preserve">)</w:t>
      </w:r>
      <w:r>
        <w:rPr>
          <w:sz w:val="28"/>
          <w:szCs w:val="28"/>
          <w:lang w:eastAsia="en-US"/>
        </w:rPr>
        <w:t xml:space="preserve">,</w:t>
      </w:r>
      <w:r>
        <w:rPr>
          <w:sz w:val="28"/>
          <w:szCs w:val="28"/>
          <w:lang w:eastAsia="en-US"/>
        </w:rPr>
        <w:t xml:space="preserve"> Миколи Лисенка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(</w:t>
      </w:r>
      <w:r>
        <w:rPr>
          <w:sz w:val="28"/>
          <w:szCs w:val="28"/>
          <w:lang w:eastAsia="en-US"/>
        </w:rPr>
        <w:t xml:space="preserve">Чехова</w:t>
      </w:r>
      <w:r>
        <w:rPr>
          <w:sz w:val="28"/>
          <w:szCs w:val="28"/>
          <w:lang w:eastAsia="en-US"/>
        </w:rPr>
        <w:t xml:space="preserve">)</w:t>
      </w:r>
      <w:r>
        <w:rPr>
          <w:sz w:val="28"/>
          <w:szCs w:val="28"/>
          <w:lang w:eastAsia="en-US"/>
        </w:rPr>
        <w:t xml:space="preserve">,</w:t>
      </w:r>
      <w:r>
        <w:rPr>
          <w:sz w:val="28"/>
          <w:szCs w:val="28"/>
          <w:lang w:eastAsia="en-US"/>
        </w:rPr>
        <w:t xml:space="preserve"> Михайла Грушевського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(</w:t>
      </w:r>
      <w:r>
        <w:rPr>
          <w:sz w:val="28"/>
          <w:szCs w:val="28"/>
          <w:lang w:eastAsia="en-US"/>
        </w:rPr>
        <w:t xml:space="preserve">Лермонтова</w:t>
      </w:r>
      <w:r>
        <w:rPr>
          <w:sz w:val="28"/>
          <w:szCs w:val="28"/>
          <w:lang w:eastAsia="en-US"/>
        </w:rPr>
        <w:t xml:space="preserve">)</w:t>
      </w:r>
      <w:r>
        <w:rPr>
          <w:sz w:val="28"/>
          <w:szCs w:val="28"/>
          <w:lang w:eastAsia="en-US"/>
        </w:rPr>
        <w:t xml:space="preserve">, Андрейченка Максима, Остреченська, Лісова, </w:t>
      </w:r>
      <w:r>
        <w:rPr>
          <w:sz w:val="28"/>
          <w:szCs w:val="28"/>
          <w:lang w:eastAsia="en-US"/>
        </w:rPr>
        <w:t xml:space="preserve">Віталія Горбача (</w:t>
      </w:r>
      <w:r>
        <w:rPr>
          <w:sz w:val="28"/>
          <w:szCs w:val="28"/>
          <w:lang w:eastAsia="en-US"/>
        </w:rPr>
        <w:t xml:space="preserve">8-го березня</w:t>
      </w:r>
      <w:r>
        <w:rPr>
          <w:sz w:val="28"/>
          <w:szCs w:val="28"/>
          <w:lang w:eastAsia="en-US"/>
        </w:rPr>
        <w:t xml:space="preserve">)</w:t>
      </w:r>
      <w:r>
        <w:rPr>
          <w:sz w:val="28"/>
          <w:szCs w:val="28"/>
          <w:lang w:eastAsia="en-US"/>
        </w:rPr>
        <w:t xml:space="preserve">, Тиха, Сонячна, Героїв АТО в м. Мена</w:t>
      </w:r>
      <w:r>
        <w:rPr>
          <w:sz w:val="28"/>
          <w:szCs w:val="28"/>
          <w:lang w:eastAsia="en-US"/>
        </w:rPr>
        <w:t xml:space="preserve"> на загальну суму </w:t>
      </w:r>
      <w:r>
        <w:rPr>
          <w:bCs/>
          <w:sz w:val="28"/>
          <w:szCs w:val="28"/>
          <w:lang w:eastAsia="en-US"/>
        </w:rPr>
        <w:t xml:space="preserve">1053,195</w:t>
      </w:r>
      <w:r>
        <w:rPr>
          <w:sz w:val="28"/>
          <w:szCs w:val="28"/>
          <w:lang w:eastAsia="en-US"/>
        </w:rPr>
        <w:t xml:space="preserve"> тис.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грн</w:t>
      </w:r>
      <w:r>
        <w:rPr>
          <w:sz w:val="28"/>
          <w:szCs w:val="28"/>
          <w:lang w:eastAsia="en-US"/>
        </w:rPr>
        <w:t xml:space="preserve">. </w:t>
      </w:r>
      <w:r>
        <w:rPr>
          <w:sz w:val="28"/>
          <w:lang w:eastAsia="en-US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eastAsia="en-US"/>
        </w:rPr>
        <w:t xml:space="preserve">Зді</w:t>
      </w:r>
      <w:r>
        <w:rPr>
          <w:color w:val="000000"/>
          <w:sz w:val="28"/>
          <w:szCs w:val="28"/>
        </w:rPr>
        <w:t xml:space="preserve">йснено грейдерування вулиць </w:t>
      </w:r>
      <w:r>
        <w:rPr>
          <w:color w:val="000000"/>
          <w:sz w:val="28"/>
          <w:szCs w:val="28"/>
        </w:rPr>
        <w:t xml:space="preserve">Героїв України (</w:t>
      </w:r>
      <w:r>
        <w:rPr>
          <w:color w:val="000000"/>
          <w:sz w:val="28"/>
          <w:szCs w:val="28"/>
        </w:rPr>
        <w:t xml:space="preserve">1-го Травня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, Нове життя, Приозерна, Миру, Титаренка Сергія, Сонячна, </w:t>
      </w:r>
      <w:r>
        <w:rPr>
          <w:color w:val="000000"/>
          <w:sz w:val="28"/>
          <w:szCs w:val="28"/>
        </w:rPr>
        <w:t xml:space="preserve">Григорія Кочура (Сидоренка),</w:t>
      </w:r>
      <w:r>
        <w:rPr>
          <w:color w:val="000000"/>
          <w:sz w:val="28"/>
          <w:szCs w:val="28"/>
        </w:rPr>
        <w:t xml:space="preserve"> Троїцька, </w:t>
      </w:r>
      <w:r>
        <w:rPr>
          <w:color w:val="000000"/>
          <w:sz w:val="28"/>
          <w:szCs w:val="28"/>
        </w:rPr>
        <w:t xml:space="preserve">Олеся Гончара (</w:t>
      </w:r>
      <w:r>
        <w:rPr>
          <w:color w:val="000000"/>
          <w:sz w:val="28"/>
          <w:szCs w:val="28"/>
        </w:rPr>
        <w:t xml:space="preserve">Толстого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 в м. Мена.</w:t>
      </w:r>
      <w:r>
        <w:rPr>
          <w:color w:val="000000"/>
          <w:sz w:val="28"/>
          <w:szCs w:val="28"/>
        </w:rPr>
        <w:t xml:space="preserve"> Загальна вартість робіт становить </w:t>
      </w:r>
      <w:r>
        <w:rPr>
          <w:b/>
          <w:bCs/>
          <w:color w:val="000000"/>
          <w:sz w:val="28"/>
          <w:szCs w:val="28"/>
        </w:rPr>
        <w:t xml:space="preserve">25</w:t>
      </w:r>
      <w:r>
        <w:rPr>
          <w:b/>
          <w:bCs/>
          <w:color w:val="000000"/>
          <w:sz w:val="28"/>
          <w:szCs w:val="28"/>
        </w:rPr>
        <w:t xml:space="preserve">,134 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ис.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грн. Також проведено висипку провулків Вокзальний 1-ий, Просужого 3-й, Набережний та вулиць Титаренка Сергія, Щаслива в м. Мена на загальну суму </w:t>
      </w:r>
      <w:r>
        <w:rPr>
          <w:b/>
          <w:bCs/>
          <w:color w:val="000000"/>
          <w:sz w:val="28"/>
          <w:szCs w:val="28"/>
        </w:rPr>
        <w:t xml:space="preserve">283,100</w:t>
      </w:r>
      <w:r>
        <w:rPr>
          <w:color w:val="000000"/>
          <w:sz w:val="28"/>
          <w:szCs w:val="28"/>
        </w:rPr>
        <w:t xml:space="preserve"> тис.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грн.</w:t>
      </w:r>
      <w:r/>
    </w:p>
    <w:p>
      <w:pPr>
        <w:ind w:firstLine="567"/>
        <w:jc w:val="both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Для утримання автомобільних доріг комунальної власності в зимовий період було придбано 180</w:t>
      </w:r>
      <w:r>
        <w:rPr>
          <w:color w:val="000000"/>
          <w:sz w:val="28"/>
          <w:szCs w:val="28"/>
        </w:rPr>
        <w:t xml:space="preserve"> тон піску на загальну суму </w:t>
      </w:r>
      <w:r>
        <w:rPr>
          <w:b/>
          <w:bCs/>
          <w:color w:val="000000"/>
          <w:sz w:val="28"/>
          <w:szCs w:val="28"/>
        </w:rPr>
        <w:t xml:space="preserve">114</w:t>
      </w:r>
      <w:r>
        <w:rPr>
          <w:b/>
          <w:bCs/>
          <w:color w:val="000000"/>
          <w:sz w:val="28"/>
          <w:szCs w:val="28"/>
        </w:rPr>
        <w:t xml:space="preserve">,</w:t>
      </w:r>
      <w:r>
        <w:rPr>
          <w:b/>
          <w:bCs/>
          <w:color w:val="000000"/>
          <w:sz w:val="28"/>
          <w:szCs w:val="28"/>
        </w:rPr>
        <w:t xml:space="preserve">750</w:t>
      </w:r>
      <w:r>
        <w:rPr>
          <w:color w:val="000000"/>
          <w:sz w:val="28"/>
          <w:szCs w:val="28"/>
        </w:rPr>
        <w:t xml:space="preserve"> тис.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грн та 21 тону солі – </w:t>
      </w:r>
      <w:r>
        <w:rPr>
          <w:b/>
          <w:bCs/>
          <w:color w:val="000000"/>
          <w:sz w:val="28"/>
          <w:szCs w:val="28"/>
        </w:rPr>
        <w:t xml:space="preserve">144</w:t>
      </w:r>
      <w:r>
        <w:rPr>
          <w:b/>
          <w:bCs/>
          <w:color w:val="000000"/>
          <w:sz w:val="28"/>
          <w:szCs w:val="28"/>
        </w:rPr>
        <w:t xml:space="preserve">,</w:t>
      </w:r>
      <w:r>
        <w:rPr>
          <w:b/>
          <w:bCs/>
          <w:color w:val="000000"/>
          <w:sz w:val="28"/>
          <w:szCs w:val="28"/>
        </w:rPr>
        <w:t xml:space="preserve">552</w:t>
      </w:r>
      <w:r>
        <w:rPr>
          <w:color w:val="000000"/>
          <w:sz w:val="28"/>
          <w:szCs w:val="28"/>
        </w:rPr>
        <w:t xml:space="preserve"> тис.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грн.</w:t>
      </w:r>
      <w:r/>
    </w:p>
    <w:p>
      <w:pPr>
        <w:ind w:firstLine="567"/>
        <w:jc w:val="both"/>
        <w:rPr>
          <w:sz w:val="28"/>
          <w:szCs w:val="28"/>
          <w:lang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 метою забезпечення безпеки дорожнього руху</w:t>
      </w:r>
      <w:r>
        <w:rPr>
          <w:color w:val="000000"/>
          <w:sz w:val="28"/>
          <w:szCs w:val="28"/>
        </w:rPr>
        <w:t xml:space="preserve"> у 2022 році Менською міською радо</w:t>
      </w:r>
      <w:r>
        <w:rPr>
          <w:sz w:val="28"/>
          <w:szCs w:val="28"/>
          <w:lang w:eastAsia="en-US"/>
        </w:rPr>
        <w:t xml:space="preserve">ю було придбано та передано КП «Менакомунпослуга»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50 дорожніх знаків для встановлення  в населених пунктах громади.</w:t>
      </w:r>
      <w:r>
        <w:rPr>
          <w:sz w:val="28"/>
          <w:lang w:eastAsia="en-US"/>
        </w:rPr>
      </w:r>
      <w:r/>
    </w:p>
    <w:p>
      <w:pPr>
        <w:ind w:firstLine="567"/>
        <w:jc w:val="both"/>
        <w:rPr>
          <w:sz w:val="28"/>
          <w:szCs w:val="28"/>
          <w:lang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eastAsia="en-US"/>
        </w:rPr>
        <w:t xml:space="preserve">Для</w:t>
      </w:r>
      <w:r>
        <w:rPr>
          <w:sz w:val="28"/>
          <w:szCs w:val="28"/>
          <w:lang w:eastAsia="en-US"/>
        </w:rPr>
        <w:t xml:space="preserve"> сприятливих умов руху транспортних засобів та пішоходів</w:t>
      </w:r>
      <w:r>
        <w:rPr>
          <w:sz w:val="28"/>
          <w:szCs w:val="28"/>
          <w:lang w:eastAsia="en-US"/>
        </w:rPr>
        <w:t xml:space="preserve"> біля школи ім. Т.Г. Шевченка в м. Мена було</w:t>
      </w:r>
      <w:r>
        <w:rPr>
          <w:sz w:val="28"/>
          <w:szCs w:val="28"/>
          <w:lang w:eastAsia="en-US"/>
        </w:rPr>
        <w:t xml:space="preserve"> встановлен</w:t>
      </w:r>
      <w:r>
        <w:rPr>
          <w:sz w:val="28"/>
          <w:szCs w:val="28"/>
          <w:lang w:eastAsia="en-US"/>
        </w:rPr>
        <w:t xml:space="preserve">о</w:t>
      </w:r>
      <w:r>
        <w:rPr>
          <w:sz w:val="28"/>
          <w:szCs w:val="28"/>
          <w:lang w:eastAsia="en-US"/>
        </w:rPr>
        <w:t xml:space="preserve"> дорожні знак</w:t>
      </w:r>
      <w:r>
        <w:rPr>
          <w:sz w:val="28"/>
          <w:szCs w:val="28"/>
          <w:lang w:eastAsia="en-US"/>
        </w:rPr>
        <w:t xml:space="preserve">и</w:t>
      </w:r>
      <w:r>
        <w:rPr>
          <w:sz w:val="28"/>
          <w:szCs w:val="28"/>
          <w:lang w:eastAsia="en-US"/>
        </w:rPr>
        <w:t xml:space="preserve">  по вул. Приозерна </w:t>
      </w:r>
      <w:r>
        <w:rPr>
          <w:sz w:val="28"/>
          <w:szCs w:val="28"/>
          <w:lang w:eastAsia="en-US"/>
        </w:rPr>
        <w:t xml:space="preserve">відповідно до  розробленої</w:t>
      </w:r>
      <w:r>
        <w:rPr>
          <w:sz w:val="28"/>
          <w:szCs w:val="28"/>
          <w:lang w:eastAsia="en-US"/>
        </w:rPr>
        <w:t xml:space="preserve">  схем</w:t>
      </w:r>
      <w:r>
        <w:rPr>
          <w:sz w:val="28"/>
          <w:szCs w:val="28"/>
          <w:lang w:eastAsia="en-US"/>
        </w:rPr>
        <w:t xml:space="preserve">и</w:t>
      </w:r>
      <w:r>
        <w:rPr>
          <w:sz w:val="28"/>
          <w:szCs w:val="28"/>
          <w:lang w:eastAsia="en-US"/>
        </w:rPr>
        <w:t xml:space="preserve"> організації дорожнього руху</w:t>
      </w:r>
      <w:r>
        <w:rPr>
          <w:sz w:val="28"/>
          <w:szCs w:val="28"/>
          <w:lang w:eastAsia="en-US"/>
        </w:rPr>
        <w:t xml:space="preserve">.</w:t>
      </w:r>
      <w:r>
        <w:rPr>
          <w:sz w:val="28"/>
          <w:lang w:eastAsia="en-US"/>
        </w:rPr>
      </w:r>
      <w:r/>
    </w:p>
    <w:p>
      <w:pPr>
        <w:ind w:firstLine="567"/>
        <w:jc w:val="both"/>
        <w:rPr>
          <w:sz w:val="28"/>
          <w:szCs w:val="28"/>
          <w:lang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eastAsia="en-US"/>
        </w:rPr>
        <w:t xml:space="preserve">Прово</w:t>
      </w:r>
      <w:r>
        <w:rPr>
          <w:sz w:val="28"/>
          <w:szCs w:val="28"/>
          <w:lang w:eastAsia="en-US"/>
        </w:rPr>
        <w:t xml:space="preserve">дяться</w:t>
      </w:r>
      <w:r>
        <w:rPr>
          <w:sz w:val="28"/>
          <w:szCs w:val="28"/>
          <w:lang w:eastAsia="en-US"/>
        </w:rPr>
        <w:t xml:space="preserve"> роботи з виготовлення містобудівної документації </w:t>
      </w:r>
      <w:r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Детального плану території для реконструкції і встановлення зерносушильного і зерно</w:t>
      </w:r>
      <w:r>
        <w:rPr>
          <w:sz w:val="28"/>
          <w:szCs w:val="28"/>
          <w:lang w:eastAsia="en-US"/>
        </w:rPr>
        <w:t xml:space="preserve">очисного обладнання, газифікації зерносушильного обладнання пропан-бутаном, встановлення газової заправки пропан-бутаном на земельній ділянці загальною площею 1,4811 га, кадастровий номер 7423081800:03:000:0818, яка знаходиться в довгостроковій оренді ПП «</w:t>
      </w:r>
      <w:r>
        <w:rPr>
          <w:sz w:val="28"/>
          <w:szCs w:val="28"/>
          <w:lang w:eastAsia="en-US"/>
        </w:rPr>
        <w:t xml:space="preserve">Петрушанко</w:t>
      </w:r>
      <w:r>
        <w:rPr>
          <w:sz w:val="28"/>
          <w:szCs w:val="28"/>
          <w:lang w:eastAsia="en-US"/>
        </w:rPr>
        <w:t xml:space="preserve">-Агро» та розташована за межами с. Величківка на території Менської міської територіальної громади, Корюківського району, Чернігівської області</w:t>
      </w:r>
      <w:r>
        <w:rPr>
          <w:sz w:val="28"/>
          <w:szCs w:val="28"/>
          <w:lang w:eastAsia="en-US"/>
        </w:rPr>
        <w:t xml:space="preserve">. 27 грудня 2022 року відбулось громадське обговорення даного проєкту містобудівної документації та звіту про стратегічну екологічну оцінку.</w:t>
      </w:r>
      <w:r>
        <w:rPr>
          <w:sz w:val="28"/>
          <w:lang w:eastAsia="en-US"/>
        </w:rPr>
      </w:r>
      <w:r/>
    </w:p>
    <w:p>
      <w:pPr>
        <w:ind w:firstLine="567"/>
        <w:jc w:val="both"/>
        <w:rPr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eastAsia="en-US"/>
        </w:rPr>
        <w:t xml:space="preserve">Враховуючи </w:t>
      </w:r>
      <w:r>
        <w:rPr>
          <w:sz w:val="28"/>
          <w:szCs w:val="28"/>
          <w:lang w:eastAsia="en-US"/>
        </w:rPr>
        <w:t xml:space="preserve">Рекомендації Уповноваженого із захисту державної мови щ</w:t>
      </w:r>
      <w:r>
        <w:rPr>
          <w:sz w:val="28"/>
          <w:szCs w:val="28"/>
          <w:lang w:eastAsia="en-US"/>
        </w:rPr>
        <w:t xml:space="preserve">одо окремих питань застосування української мови як державної у діяльності органів державної влади, органів місцевого самоврядування (в частині найменування, перейменування, унормування назв географічних об’єктів та об’єктів топоніміки населених пунктів), </w:t>
      </w:r>
      <w:r>
        <w:rPr>
          <w:sz w:val="28"/>
          <w:szCs w:val="28"/>
          <w:lang w:eastAsia="en-US"/>
        </w:rPr>
        <w:t xml:space="preserve">пропозиції комісії </w:t>
      </w:r>
      <w:r>
        <w:rPr>
          <w:sz w:val="28"/>
          <w:szCs w:val="28"/>
          <w:lang w:eastAsia="en-US"/>
        </w:rPr>
        <w:t xml:space="preserve">з питань найменування, перейменування, унормування назв географічних об’єктів та об’єктів топоніміки на території Менської міської територіальної громади </w:t>
      </w:r>
      <w:r>
        <w:rPr>
          <w:sz w:val="28"/>
          <w:szCs w:val="28"/>
          <w:lang w:eastAsia="en-US"/>
        </w:rPr>
        <w:t xml:space="preserve">та проведене громадс</w:t>
      </w:r>
      <w:r>
        <w:rPr>
          <w:color w:val="000000"/>
          <w:sz w:val="28"/>
          <w:szCs w:val="28"/>
        </w:rPr>
        <w:t xml:space="preserve">ьке обговорення </w:t>
      </w:r>
      <w:r>
        <w:rPr>
          <w:sz w:val="28"/>
          <w:szCs w:val="28"/>
        </w:rPr>
        <w:t xml:space="preserve">рішенням 23 сесії Менської міської ради 8 скликання від 26 вересня 2022 року №318 було перейменовано 104 вулиць і провулків в населених пунктах громади. </w:t>
      </w:r>
      <w:r/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Розвиток освіти</w:t>
      </w:r>
      <w:r/>
    </w:p>
    <w:p>
      <w:pPr>
        <w:ind w:firstLine="567"/>
        <w:jc w:val="both"/>
        <w:rPr>
          <w:sz w:val="28"/>
          <w:szCs w:val="28"/>
          <w:lang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/>
        </w:rPr>
        <w:t xml:space="preserve">У </w:t>
      </w:r>
      <w:r>
        <w:rPr>
          <w:bCs/>
          <w:sz w:val="28"/>
          <w:szCs w:val="28"/>
          <w:lang w:bidi="uk-UA"/>
        </w:rPr>
        <w:t xml:space="preserve">гуманітарній сфері </w:t>
      </w:r>
      <w:r>
        <w:rPr>
          <w:sz w:val="28"/>
          <w:szCs w:val="28"/>
          <w:lang w:bidi="uk-UA"/>
        </w:rPr>
        <w:t xml:space="preserve">протягом 202</w:t>
      </w:r>
      <w:r>
        <w:rPr>
          <w:sz w:val="28"/>
          <w:szCs w:val="28"/>
          <w:lang w:bidi="uk-UA"/>
        </w:rPr>
        <w:t xml:space="preserve">2 року вживалися дієві заходи щодо підвищення як</w:t>
      </w:r>
      <w:r>
        <w:rPr>
          <w:sz w:val="28"/>
          <w:szCs w:val="28"/>
          <w:lang w:bidi="uk-UA" w:eastAsia="en-US"/>
        </w:rPr>
        <w:t xml:space="preserve">ості надання освітніх послуг, поліпшення матеріально-технічної бази закладів освіти громади, створення умов для творчого розвитку особистості та культурного рівня громадян, прийнято ряд рішень та проводяться </w:t>
      </w:r>
      <w:r>
        <w:rPr>
          <w:sz w:val="28"/>
          <w:szCs w:val="28"/>
          <w:lang w:eastAsia="en-US"/>
        </w:rPr>
        <w:t xml:space="preserve">заходи щодо створення спроможної освітньої мережі Менської ТГ.</w:t>
      </w:r>
      <w:r>
        <w:rPr>
          <w:sz w:val="28"/>
          <w:lang w:eastAsia="en-US"/>
        </w:rPr>
      </w:r>
      <w:r/>
    </w:p>
    <w:p>
      <w:pPr>
        <w:ind w:firstLine="567"/>
        <w:jc w:val="both"/>
        <w:rPr>
          <w:sz w:val="28"/>
          <w:szCs w:val="28"/>
          <w:lang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eastAsia="en-US"/>
        </w:rPr>
        <w:t xml:space="preserve">Слід врахувати, що робота закладів освіти проходить в умовах оголошеного воєнного стану в Україні, що вносить свої корективи.</w:t>
      </w:r>
      <w:r>
        <w:rPr>
          <w:sz w:val="28"/>
          <w:lang w:eastAsia="en-US"/>
        </w:rPr>
      </w:r>
      <w:r/>
    </w:p>
    <w:p>
      <w:pPr>
        <w:ind w:firstLine="567"/>
        <w:jc w:val="both"/>
        <w:rPr>
          <w:sz w:val="28"/>
          <w:szCs w:val="28"/>
          <w:lang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eastAsia="en-US"/>
        </w:rPr>
        <w:t xml:space="preserve">Станом на 01.01.2023 року в підпорядкуванні відділу освіти Менської міської ради перебуває 35 закла</w:t>
      </w:r>
      <w:r>
        <w:rPr>
          <w:sz w:val="28"/>
          <w:szCs w:val="28"/>
          <w:lang w:eastAsia="en-US"/>
        </w:rPr>
        <w:t xml:space="preserve">дів та установ освіти комунальної форми власності, з них: 15 закладів загальної середньої освіти (в тому числі 9 ЗЗСО І-ІІІ ступенів та 3 філії І-ІІ ступенів, 1 філія І ступеня;  2 гімназії, що надають базову загальну середню освіту), в яких отримують зага</w:t>
      </w:r>
      <w:r>
        <w:rPr>
          <w:sz w:val="28"/>
          <w:szCs w:val="28"/>
          <w:lang w:eastAsia="en-US"/>
        </w:rPr>
        <w:t xml:space="preserve">льну середню освіту  2417 учнів (місто-1609, село-808), 14 ЗДО та 1 дошкільний структурний підрозділ у складі Волосківської гімназії (в яких виховується 525 дітей, з них в місті - 303, селі - 222), 4 заклади позашкільної освіти, Степанівський МНВК та ІРЦ. </w:t>
      </w:r>
      <w:r>
        <w:rPr>
          <w:sz w:val="28"/>
          <w:lang w:eastAsia="en-US"/>
        </w:rPr>
      </w:r>
      <w:r/>
    </w:p>
    <w:p>
      <w:pPr>
        <w:ind w:firstLine="567"/>
        <w:jc w:val="both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eastAsia="en-US"/>
        </w:rPr>
        <w:t xml:space="preserve">Відділом освіти продовжують вживатися заходи щодо формуванн</w:t>
      </w:r>
      <w:r>
        <w:rPr>
          <w:sz w:val="28"/>
          <w:szCs w:val="28"/>
          <w:lang w:eastAsia="en-US"/>
        </w:rPr>
        <w:t xml:space="preserve">я оптимальної освітньої мережі. Завершено процедури ліквідації наступних закладів освіти: (Осьмаківської та Слобідської ЗОШ); продовжуються  процедури ліквідації Семенівського та Волосківського ЗДО, Максаківської ЗОШ,  Семенівського ЗЗСО І-ІІ ступенів. Вел</w:t>
      </w:r>
      <w:r>
        <w:rPr>
          <w:sz w:val="28"/>
          <w:szCs w:val="28"/>
          <w:lang w:eastAsia="en-US"/>
        </w:rPr>
        <w:t xml:space="preserve">ичківський ЗЗСО І-ІІ ступенів реорганізован</w:t>
      </w:r>
      <w:r>
        <w:rPr>
          <w:sz w:val="28"/>
          <w:szCs w:val="28"/>
        </w:rPr>
        <w:t xml:space="preserve">о в Величківську філію І-ІІ ступенів Опорного закладу Менська гімназія, Куковицький ЗЗСО І-ІІІ ступенів Менської міської ради реорганізовано шляхом приєднання до Опорного закладу Менська гімназія Менської міської </w:t>
      </w:r>
      <w:r>
        <w:rPr>
          <w:sz w:val="28"/>
          <w:szCs w:val="28"/>
        </w:rPr>
        <w:t xml:space="preserve">ради – створено Куковицьку філію І ступеня Опорного закладу Менська гімназія Менської міської ради.</w:t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/>
        </w:rPr>
        <w:t xml:space="preserve">Діти</w:t>
      </w:r>
      <w:r>
        <w:rPr>
          <w:sz w:val="28"/>
          <w:szCs w:val="28"/>
          <w:lang w:bidi="uk-UA" w:eastAsia="en-US"/>
        </w:rPr>
        <w:t xml:space="preserve"> із ліквідованих закладів освіти переведені на навчання та виховання до найближчих закладів освіти, забезпечується підвіз учнів та дошкільників шкільним автобусом до закладів освіти.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Мережа дитячих садків зазнала певних змін: припинено </w:t>
      </w:r>
      <w:r>
        <w:rPr>
          <w:sz w:val="28"/>
          <w:szCs w:val="28"/>
          <w:lang w:bidi="uk-UA" w:eastAsia="en-US"/>
        </w:rPr>
        <w:t xml:space="preserve">діяльність юридичної особи Городищенський заклад дошкільної освіти (дитячий садок) «Берізка» загального типу Менської міської ради Чернігівської області (відсутність дітей); завершується процедура ліквідації юридичної особи Семенівський з</w:t>
      </w:r>
      <w:r>
        <w:rPr>
          <w:sz w:val="28"/>
          <w:szCs w:val="28"/>
        </w:rPr>
        <w:t xml:space="preserve">аклад дошкільної о</w:t>
      </w:r>
      <w:r>
        <w:rPr>
          <w:sz w:val="28"/>
          <w:szCs w:val="28"/>
        </w:rPr>
        <w:t xml:space="preserve">світи (дитячий садок) «Сонечко» загального типу Менської міської ради Менського району Чернігівської області; створено додаткову різновікову групу в Стольненському закладі дошкільної освіти (дитячий садок) «Сонечко» загального типу Менської міської ради до</w:t>
      </w:r>
      <w:r>
        <w:rPr>
          <w:sz w:val="28"/>
          <w:szCs w:val="28"/>
        </w:rPr>
        <w:t xml:space="preserve"> даного закладу переведені діти з Семенівського дитячого садка; завершується процедура ліквідації юридичної особи Волосківський заклад дошкільної освіти (дитячий садок) «Волошка» загального типу Менської міської ради Чернігівської області; перепрофільовано</w:t>
      </w:r>
      <w:r>
        <w:rPr>
          <w:sz w:val="28"/>
          <w:szCs w:val="28"/>
        </w:rPr>
        <w:t xml:space="preserve"> (змінено тип) Волосківського ЗЗСО І-ІІ ступенів Менської міської ради Чернігівської області на Волосківську гімназію Менської міської ради (з структурним дошкільним підрозділом, в даний дошкільний підрозділ переведені діти з Волосківського ЗДО «Волошка»).</w:t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клади (установи) освіти з 01 січня 2022 року переведені на умови самостій</w:t>
      </w:r>
      <w:r>
        <w:rPr>
          <w:sz w:val="28"/>
          <w:szCs w:val="28"/>
          <w:lang w:bidi="uk-UA" w:eastAsia="en-US"/>
        </w:rPr>
        <w:t xml:space="preserve">ного ведення господарської діяльності та бухгалтерського обліку, які обслуговує Комунальна установа «Центр з обслуговування освітніх установ та закладів освіти» Менської міської ради.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Приведено у відповідність до вимог Закону України «Про освіту» установчі документи закладів освіти.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Дошкільною освітою охоплено 92,3% дітей віком від 3 до 6 років та 65,9% дітей віком від 1 до 6 років.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На даний час в усіх населених пунктах де є достатній контингент дітей дошкільного віку працюють заклади дошкільної освіти. 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В країні триває війна, а тому на всій території посилені вимоги щодо забезпечення безпечних умов перебування дітей в закладах освіти. В режимі офлайн можуть працювати лише ті заклади освіти, що мають найпростіші укриття. 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i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Розпорядженням міського голови було створено комісію з перевірки закладів освіти на </w:t>
      </w:r>
      <w:r>
        <w:rPr>
          <w:sz w:val="28"/>
          <w:szCs w:val="28"/>
        </w:rPr>
        <w:t xml:space="preserve">предмет</w:t>
      </w:r>
      <w:r>
        <w:rPr>
          <w:sz w:val="28"/>
          <w:szCs w:val="28"/>
        </w:rPr>
        <w:t xml:space="preserve"> наявності найпростіших укриттів, які можуть використовуватися закладами освіти, складено Акти оцінки об’єкта (будівлі, споруди, приміщення) щодо можливості його використання для укриття населення як найпростішого укриття), які  погоджені Корюківською РВА.</w:t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На</w:t>
      </w:r>
      <w:r>
        <w:rPr>
          <w:sz w:val="28"/>
          <w:szCs w:val="28"/>
          <w:lang w:bidi="uk-UA" w:eastAsia="en-US"/>
        </w:rPr>
        <w:t xml:space="preserve">разі відсутнє найпростіше укриття лише в Дягівському ЗЗСО І-ІІІ ступенів. Всі заклади дошкільної, позашкільної освіти працюють в очному режимі, 2 </w:t>
      </w:r>
      <w:r>
        <w:rPr>
          <w:sz w:val="28"/>
          <w:szCs w:val="28"/>
          <w:lang w:bidi="uk-UA" w:eastAsia="en-US"/>
        </w:rPr>
        <w:t xml:space="preserve">заклади загальної середньої освіти та 3 філії працюють в очному режимі, решта в змішаному.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За сприяння гуманітарного штабу при Менській міській раді найпростіші укриття забезпечені найпростішими продуктовими наборами з розрахунку на кожну особу; частково: питною бутильованою водою, ліхтарями (як альтернативним живленням), теплими ковдрами.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За сприяння ГО «Добрі ініціативи Менщини», в рамках  гранту  «Безпечне освітнє середовище Менської громади в умовах війни»</w:t>
      </w:r>
      <w:r>
        <w:rPr>
          <w:sz w:val="28"/>
          <w:szCs w:val="28"/>
          <w:lang w:bidi="uk-UA" w:eastAsia="en-US"/>
        </w:rPr>
        <w:t xml:space="preserve">, заклади освіти громади отримують</w:t>
      </w:r>
      <w:r>
        <w:rPr>
          <w:sz w:val="28"/>
          <w:szCs w:val="28"/>
          <w:lang w:bidi="uk-UA" w:eastAsia="en-US"/>
        </w:rPr>
        <w:t xml:space="preserve"> обладнання для укриттів.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Проєктну</w:t>
      </w:r>
      <w:r>
        <w:rPr>
          <w:sz w:val="28"/>
          <w:szCs w:val="28"/>
          <w:lang w:bidi="uk-UA" w:eastAsia="en-US"/>
        </w:rPr>
        <w:t xml:space="preserve"> заявку в рамках проєкту ПРООН «ЄС за діалог: Сприяння трансформації конфліктів на Південному Кавказі та в республіці Молдова» підготува</w:t>
      </w:r>
      <w:r>
        <w:rPr>
          <w:sz w:val="28"/>
          <w:szCs w:val="28"/>
          <w:lang w:eastAsia="uk-UA"/>
        </w:rPr>
        <w:t xml:space="preserve">ла громадська організація «ДІМ» спільно з відділом економічного розвитку та інвестицій. Метою проєк</w:t>
      </w:r>
      <w:r>
        <w:rPr>
          <w:sz w:val="28"/>
          <w:szCs w:val="28"/>
          <w:lang w:eastAsia="uk-UA"/>
        </w:rPr>
        <w:t xml:space="preserve">ту є створення безпечних умов для перебування дітей у закладах освіти на випадок повітряної тривоги. Загальна сума на його  реалізацію становить 17527 доларів США. На ці кошти для найпростіших укриттів освітніх закладів громади закуплено: біотуалети, ємнос</w:t>
      </w:r>
      <w:r>
        <w:rPr>
          <w:sz w:val="28"/>
          <w:szCs w:val="28"/>
          <w:lang w:eastAsia="uk-UA"/>
        </w:rPr>
        <w:t xml:space="preserve">ті для води та сміття, </w:t>
      </w:r>
      <w:r>
        <w:rPr>
          <w:sz w:val="28"/>
          <w:szCs w:val="28"/>
          <w:lang w:eastAsia="uk-UA"/>
        </w:rPr>
        <w:t xml:space="preserve">контейнери для зберігання харчових продуктів, бензогенератори (15 одиниць).</w:t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eastAsia="uk-UA"/>
        </w:rPr>
        <w:t xml:space="preserve">За </w:t>
      </w:r>
      <w:r>
        <w:rPr>
          <w:sz w:val="28"/>
          <w:szCs w:val="28"/>
          <w:lang w:bidi="uk-UA" w:eastAsia="en-US"/>
        </w:rPr>
        <w:t xml:space="preserve">кошти місцевого бюджету, спонсорів, педагогів, ба</w:t>
      </w:r>
      <w:r>
        <w:rPr>
          <w:sz w:val="28"/>
          <w:szCs w:val="28"/>
          <w:lang w:bidi="uk-UA" w:eastAsia="en-US"/>
        </w:rPr>
        <w:t xml:space="preserve">тьківської громадськості (232 тис. грн.) придбано потужні генератори в Стольненський, Покровський, Блистівський ЗЗСО І-ІІІ ступенів (в цих же будівлях знаходяться й Стольненський, Покровський, Блистівський дитячі садки), що надає можливість безперебійного </w:t>
      </w:r>
      <w:r>
        <w:rPr>
          <w:sz w:val="28"/>
          <w:szCs w:val="28"/>
          <w:lang w:bidi="uk-UA" w:eastAsia="en-US"/>
        </w:rPr>
        <w:t xml:space="preserve">електро</w:t>
      </w:r>
      <w:r>
        <w:rPr>
          <w:sz w:val="28"/>
          <w:szCs w:val="28"/>
          <w:lang w:bidi="uk-UA" w:eastAsia="en-US"/>
        </w:rPr>
        <w:t xml:space="preserve">-</w:t>
      </w:r>
      <w:r>
        <w:rPr>
          <w:sz w:val="28"/>
          <w:szCs w:val="28"/>
          <w:lang w:bidi="uk-UA" w:eastAsia="en-US"/>
        </w:rPr>
        <w:t xml:space="preserve"> та теплопостачання закладів в разі перебоїв з електропостачанням.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Розпорядження</w:t>
      </w:r>
      <w:r>
        <w:rPr>
          <w:sz w:val="28"/>
          <w:szCs w:val="28"/>
          <w:lang w:bidi="uk-UA" w:eastAsia="en-US"/>
        </w:rPr>
        <w:t xml:space="preserve">м міського голови було створено комісію з обстеження закладів освіти на предмет готовності до організації навчання та забезпечення безпеки учасників освітнього процесу у 2022/2023 навчальному році. Результатом роботи комісії є підготовка відповідного акту.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В цьому році не маємо фінансової можливості вкладати бюджетні кошти в ремонт закладів освіти, проте якщо є допомога від батьків, спонсорів, небайдужих до освітянських проблем осіб, іноземних донорів, то радо її сприймаємо. 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Завершуємо підготовку закладів освіти до роботи в осінньо-зимовий період. Проводиться закупівля твердого палива, продовжуються процедури укладення договорів на постачання твердих видів палива, газу.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На даний час на 100 відсотків від потреби заклади освіти забезпечені вугіллям</w:t>
      </w:r>
      <w:r>
        <w:rPr>
          <w:sz w:val="28"/>
          <w:szCs w:val="28"/>
          <w:lang w:bidi="uk-UA" w:eastAsia="en-US"/>
        </w:rPr>
        <w:t xml:space="preserve">, забезпеченість закладів дровами становить 70% від потреби, торфобрике</w:t>
      </w:r>
      <w:r>
        <w:rPr>
          <w:sz w:val="28"/>
          <w:szCs w:val="28"/>
          <w:lang w:bidi="uk-UA" w:eastAsia="en-US"/>
        </w:rPr>
        <w:t xml:space="preserve">том на 43,5%. 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Проводиться повірка газового обладнання (манометри та сигналізатори), перезарядка вогнегасників.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Для забезпечення безперебійної роботи закладів освіти в осінньо-зимовий період 2022-2023 опалювального періоду проведені роботи по ремонту системи опалення по наступних закладах освіти: ремонт теплотраси (ремонт вводу в котельню) </w:t>
      </w:r>
      <w:r>
        <w:rPr>
          <w:sz w:val="28"/>
          <w:szCs w:val="28"/>
          <w:lang w:bidi="uk-UA" w:eastAsia="en-US"/>
        </w:rPr>
        <w:t xml:space="preserve">Степанівського</w:t>
      </w:r>
      <w:r>
        <w:rPr>
          <w:sz w:val="28"/>
          <w:szCs w:val="28"/>
          <w:lang w:bidi="uk-UA" w:eastAsia="en-US"/>
        </w:rPr>
        <w:t xml:space="preserve"> МНВК, ремонт котла в Дягівському ЗДО «Веселка», </w:t>
      </w:r>
      <w:r>
        <w:rPr>
          <w:sz w:val="28"/>
          <w:szCs w:val="28"/>
          <w:lang w:bidi="uk-UA" w:eastAsia="en-US"/>
        </w:rPr>
        <w:t xml:space="preserve">ремонтні роботи в Блистівському ЗЗСО І-ІІІ ст. (роботи з ремонту водогону, заміна труби котельні, ремонт котла).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2022 рік значно знизив фінансові можливості громади в цілому</w:t>
      </w:r>
      <w:r>
        <w:rPr>
          <w:sz w:val="28"/>
          <w:szCs w:val="28"/>
          <w:lang w:bidi="uk-UA" w:eastAsia="en-US"/>
        </w:rPr>
        <w:t xml:space="preserve">, проте найнагальніші потреби пов’язані з</w:t>
      </w:r>
      <w:r>
        <w:rPr>
          <w:sz w:val="28"/>
          <w:szCs w:val="28"/>
          <w:lang w:bidi="uk-UA" w:eastAsia="en-US"/>
        </w:rPr>
        <w:t xml:space="preserve"> функціонування</w:t>
      </w:r>
      <w:r>
        <w:rPr>
          <w:sz w:val="28"/>
          <w:szCs w:val="28"/>
          <w:lang w:bidi="uk-UA" w:eastAsia="en-US"/>
        </w:rPr>
        <w:t xml:space="preserve">м</w:t>
      </w:r>
      <w:r>
        <w:rPr>
          <w:sz w:val="28"/>
          <w:szCs w:val="28"/>
          <w:lang w:bidi="uk-UA" w:eastAsia="en-US"/>
        </w:rPr>
        <w:t xml:space="preserve"> закладів освіти вирішувалися. Вчасно виплачена заробітна плата, проводилася оплата енергоносіїв, </w:t>
      </w:r>
      <w:r>
        <w:rPr>
          <w:sz w:val="28"/>
          <w:szCs w:val="28"/>
          <w:lang w:bidi="uk-UA" w:eastAsia="en-US"/>
        </w:rPr>
        <w:t xml:space="preserve">теплопостачання, </w:t>
      </w:r>
      <w:r>
        <w:rPr>
          <w:sz w:val="28"/>
          <w:szCs w:val="28"/>
          <w:lang w:bidi="uk-UA" w:eastAsia="en-US"/>
        </w:rPr>
        <w:t xml:space="preserve">фінансувалося харчування дітей в закладах загальної середньої та дошкільної освіти, забезпечувався підвіз дітей, вихованців, педагогів на навчання (роботу) та у </w:t>
      </w:r>
      <w:r>
        <w:rPr>
          <w:sz w:val="28"/>
          <w:szCs w:val="28"/>
          <w:lang w:bidi="uk-UA" w:eastAsia="en-US"/>
        </w:rPr>
        <w:t xml:space="preserve">зворотньому</w:t>
      </w:r>
      <w:r>
        <w:rPr>
          <w:sz w:val="28"/>
          <w:szCs w:val="28"/>
          <w:lang w:bidi="uk-UA" w:eastAsia="en-US"/>
        </w:rPr>
        <w:t xml:space="preserve"> напрямі, закуплено паливо для роботи </w:t>
      </w:r>
      <w:r>
        <w:rPr>
          <w:sz w:val="28"/>
          <w:szCs w:val="28"/>
          <w:lang w:bidi="uk-UA" w:eastAsia="en-US"/>
        </w:rPr>
        <w:t xml:space="preserve">котелень</w:t>
      </w:r>
      <w:r>
        <w:rPr>
          <w:sz w:val="28"/>
          <w:szCs w:val="28"/>
          <w:lang w:bidi="uk-UA" w:eastAsia="en-US"/>
        </w:rPr>
        <w:t xml:space="preserve"> </w:t>
      </w:r>
      <w:r>
        <w:rPr>
          <w:sz w:val="28"/>
          <w:szCs w:val="28"/>
          <w:lang w:bidi="uk-UA" w:eastAsia="en-US"/>
        </w:rPr>
        <w:t xml:space="preserve">та багато іншого</w:t>
      </w:r>
      <w:r>
        <w:rPr>
          <w:sz w:val="28"/>
          <w:szCs w:val="28"/>
          <w:lang w:bidi="uk-UA" w:eastAsia="en-US"/>
        </w:rPr>
        <w:t xml:space="preserve">. 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Проведено ряд робіт, спрямованих на виконання рішення  Чернігівського окружного адміністративного суду за позовом Головного управління Державної служби України з надзвичайних ситуацій у Чернігівській області до Мак</w:t>
      </w:r>
      <w:r>
        <w:rPr>
          <w:sz w:val="28"/>
          <w:szCs w:val="28"/>
          <w:lang w:bidi="uk-UA" w:eastAsia="en-US"/>
        </w:rPr>
        <w:t xml:space="preserve">ошинського закладу загальної середньої освіти І-ІІІ ступенів, а це – фактична заборона експлуатації будівель навчальних корпусів №1,2,3 Макошинського ЗЗСО І-ІІІ ступенів до повного усунення порушень. Встановлено автоматичну пожежну сигналізацію, оповіщення</w:t>
      </w:r>
      <w:r>
        <w:rPr>
          <w:sz w:val="28"/>
          <w:szCs w:val="28"/>
          <w:lang w:bidi="uk-UA" w:eastAsia="en-US"/>
        </w:rPr>
        <w:t xml:space="preserve"> про пожежу, управління евакуацією людей, устаткування передавання тривожних сповіщень в приміщеннях на суму 542 000 грн., систему блискавкозахисту в приміщеннях на суму 401 712 грн.; вогнезахисне просочення дерев’яних конструкцій покрівель на суму 89 000 </w:t>
      </w:r>
      <w:r>
        <w:rPr>
          <w:sz w:val="28"/>
          <w:szCs w:val="28"/>
          <w:lang w:bidi="uk-UA" w:eastAsia="en-US"/>
        </w:rPr>
        <w:t xml:space="preserve">грн.; поточний ремонт шахтного колодязя та мереж зовнішнього водопостачання з встановленням пожежного гідранта на суму 62 163, 86 грн.. В умовах воєнного стану в країні, без цільової державної субвенції фінансувати дані види робіт було надзвичайно складно.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Рік складний, а тому якщо надходила допомога від батьків, спонсорів</w:t>
      </w:r>
      <w:r>
        <w:rPr>
          <w:sz w:val="28"/>
          <w:szCs w:val="28"/>
          <w:lang w:bidi="uk-UA" w:eastAsia="en-US"/>
        </w:rPr>
        <w:t xml:space="preserve">, небайдужих до освітянських проблем осіб, іноземних донорів, то радо її приймали, адже працюємо для дітей, для їх розвитку.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Спільно з Дитячим фондом ООН (ЮНІСЕФ) у партнерстві з Асоціаціє</w:t>
      </w:r>
      <w:r>
        <w:rPr>
          <w:sz w:val="28"/>
          <w:szCs w:val="28"/>
          <w:lang w:bidi="uk-UA" w:eastAsia="en-US"/>
        </w:rPr>
        <w:t xml:space="preserve">ю міст України (АМУ) Менська міська територіальна громада, яка брала участь в ініціативі «Громада, дружня до дітей та молоді», отримала близько 50 тис. доларів США на свої місцеві програми реагування на підтримку сімей з дітьми, які постраждали від війни. </w:t>
      </w:r>
      <w:r>
        <w:rPr>
          <w:sz w:val="28"/>
          <w:szCs w:val="28"/>
          <w:lang w:bidi="uk-UA" w:eastAsia="en-US"/>
        </w:rPr>
        <w:t xml:space="preserve">Кошти  були використані для надання доступу д</w:t>
      </w:r>
      <w:r>
        <w:rPr>
          <w:sz w:val="28"/>
          <w:szCs w:val="28"/>
          <w:lang w:bidi="uk-UA" w:eastAsia="en-US"/>
        </w:rPr>
        <w:t xml:space="preserve">о інклюзивної освіти дітей з особливими освітніми потребами, в тому числі з числа внутрішньо переміщених осіб та дітей, які  постійно проживають у громаді, і внаслідок воєнної агресії та інших об’єктивних чинників опинилися у складних життєвих обставинах. 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На дані кошти була проведена закупівля товарів та послуг, а саме: зроблено поточний ремонт приміщення Комунальної установи «Менськ</w:t>
      </w:r>
      <w:r>
        <w:rPr>
          <w:sz w:val="28"/>
          <w:szCs w:val="28"/>
          <w:lang w:bidi="uk-UA" w:eastAsia="en-US"/>
        </w:rPr>
        <w:t xml:space="preserve">ий інклюзивно-ресурсний центр» Менської міської ради, закуплено спеціальне обладнання для організації роботи інклюзивно-ресурсного центру та придбано дидактичні матеріали для роботи з дітьми з особливими освітніми потребами на загальну суму 1 446 722 грн..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В серпні 2022 року відбулася волонтерська акція «БУРчик з облаштування укриття в </w:t>
      </w:r>
      <w:r>
        <w:rPr>
          <w:sz w:val="28"/>
          <w:szCs w:val="28"/>
          <w:lang w:bidi="uk-UA" w:eastAsia="en-US"/>
        </w:rPr>
        <w:t xml:space="preserve">м.Мена</w:t>
      </w:r>
      <w:r>
        <w:rPr>
          <w:sz w:val="28"/>
          <w:szCs w:val="28"/>
          <w:lang w:bidi="uk-UA" w:eastAsia="en-US"/>
        </w:rPr>
        <w:t xml:space="preserve"> Чернігівської області», спонсором якого є волонтерський рух української молоді «Будуємо Україну Разом» (БУР). Участь ГО «Добрі ініціативи Менщини», за сприяння міської ради, дала можливість залучити </w:t>
      </w:r>
      <w:r>
        <w:rPr>
          <w:sz w:val="28"/>
          <w:szCs w:val="28"/>
          <w:lang w:bidi="uk-UA" w:eastAsia="en-US"/>
        </w:rPr>
        <w:t xml:space="preserve">спонсорські кошти з метою облаштування укриття для перебування дітей однієї з міських шкіл, які спрямовані на придбання матеріалів. До волонтерської акції долуч</w:t>
      </w:r>
      <w:r>
        <w:rPr>
          <w:sz w:val="28"/>
          <w:szCs w:val="28"/>
          <w:lang w:bidi="uk-UA" w:eastAsia="en-US"/>
        </w:rPr>
        <w:t xml:space="preserve">илася наша молодь, яка бажає зробити своє місто безпечним та кращим, члени громадської організації, батьки учнів та працівники закладу освіти. В листопаді 2022 року вдруге відбулася волонтерська акція «БУРчик», на цей раз захід спрямований на облаштування </w:t>
      </w:r>
      <w:r>
        <w:rPr>
          <w:sz w:val="28"/>
          <w:szCs w:val="28"/>
          <w:lang w:bidi="uk-UA" w:eastAsia="en-US"/>
        </w:rPr>
        <w:t xml:space="preserve">вхідного приміщення Інклюзивно-ресурсного цен</w:t>
      </w:r>
      <w:r>
        <w:rPr>
          <w:sz w:val="28"/>
          <w:szCs w:val="28"/>
        </w:rPr>
        <w:t xml:space="preserve">тру (кошти спрямовані на придбання будівельних матеріалів).</w:t>
      </w:r>
      <w:r/>
    </w:p>
    <w:p>
      <w:pPr>
        <w:ind w:left="-142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Галузь культури</w:t>
      </w:r>
      <w:r/>
    </w:p>
    <w:p>
      <w:pPr>
        <w:ind w:firstLine="567"/>
        <w:jc w:val="both"/>
        <w:rPr>
          <w:bCs/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</w:rPr>
        <w:t xml:space="preserve">Діяльн</w:t>
      </w:r>
      <w:r>
        <w:rPr>
          <w:bCs/>
          <w:sz w:val="28"/>
          <w:szCs w:val="28"/>
        </w:rPr>
        <w:t xml:space="preserve">ість закладів культури Менської міської ТГ протягом звітного періоду була </w:t>
      </w:r>
      <w:r>
        <w:rPr>
          <w:bCs/>
          <w:sz w:val="28"/>
          <w:szCs w:val="28"/>
          <w:lang w:bidi="uk-UA" w:eastAsia="en-US"/>
        </w:rPr>
        <w:t xml:space="preserve">спрямована на реалізацію державної політики в галузі культури і мистецтва, реалізацію гарантованого за визначеним Законом України «Про культуру» права громадян на культурні послуги. 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Рік, що минув, </w:t>
      </w:r>
      <w:r>
        <w:rPr>
          <w:sz w:val="28"/>
          <w:szCs w:val="28"/>
          <w:lang w:bidi="uk-UA" w:eastAsia="en-US"/>
        </w:rPr>
        <w:t xml:space="preserve">вніс</w:t>
      </w:r>
      <w:r>
        <w:rPr>
          <w:sz w:val="28"/>
          <w:szCs w:val="28"/>
          <w:lang w:bidi="uk-UA" w:eastAsia="en-US"/>
        </w:rPr>
        <w:t xml:space="preserve"> свої корективи в роботу – змінив як напрямки, так і форми діяльності</w:t>
      </w:r>
      <w:r>
        <w:rPr>
          <w:sz w:val="28"/>
          <w:szCs w:val="28"/>
          <w:lang w:bidi="uk-UA" w:eastAsia="en-US"/>
        </w:rPr>
        <w:t xml:space="preserve">. 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На сьогоднішній день всі заклади культури працюють в повному форматі із дещо зміненим графіком роботи. В зв’язку із забороною проведення масових заходів, деякі з них проводяться в режимі онлайн.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  <w:lang w:bidi="uk-UA" w:eastAsia="en-US"/>
        </w:rPr>
        <w:t xml:space="preserve">Культурне обслуговування населення громади здійснюють 4 комунальні заклади культури: КЗ «Менський  будинок культури» та 24 сільських філій, КЗ «Центр культур</w:t>
      </w:r>
      <w:r>
        <w:rPr>
          <w:bCs/>
          <w:sz w:val="28"/>
          <w:szCs w:val="28"/>
          <w:lang w:bidi="uk-UA" w:eastAsia="en-US"/>
        </w:rPr>
        <w:t xml:space="preserve">и та  дозвілля молоді», КЗ «Менський краєзнавчий музей ім. В. Покотила», КЗ «Менська публічна бібліотека» та 24 сільські філії. Мережа  закладів культури в громаді відповідає всім нормативним вимогам та забезпечує надання базового набору культурних послуг.</w:t>
      </w:r>
      <w:r>
        <w:rPr>
          <w:sz w:val="28"/>
          <w:lang w:bidi="uk-UA" w:eastAsia="en-US"/>
        </w:rPr>
        <w:t xml:space="preserve"> </w:t>
      </w:r>
      <w:r>
        <w:rPr>
          <w:sz w:val="28"/>
          <w:szCs w:val="28"/>
          <w:lang w:bidi="uk-UA" w:eastAsia="en-US"/>
        </w:rPr>
        <w:t xml:space="preserve">Діяльність установ культури забезпечують 126</w:t>
      </w:r>
      <w:r>
        <w:rPr>
          <w:sz w:val="28"/>
          <w:szCs w:val="28"/>
          <w:lang w:bidi="uk-UA" w:eastAsia="en-US"/>
        </w:rPr>
        <w:t xml:space="preserve"> </w:t>
      </w:r>
      <w:r>
        <w:rPr>
          <w:sz w:val="28"/>
          <w:szCs w:val="28"/>
          <w:lang w:bidi="uk-UA" w:eastAsia="en-US"/>
        </w:rPr>
        <w:t xml:space="preserve">працівників.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За </w:t>
      </w:r>
      <w:r>
        <w:rPr>
          <w:sz w:val="28"/>
          <w:szCs w:val="28"/>
          <w:lang w:bidi="uk-UA" w:eastAsia="en-US"/>
        </w:rPr>
        <w:t xml:space="preserve">12 місяців 2022 року</w:t>
      </w:r>
      <w:r>
        <w:rPr>
          <w:sz w:val="28"/>
          <w:szCs w:val="28"/>
          <w:lang w:bidi="uk-UA" w:eastAsia="en-US"/>
        </w:rPr>
        <w:t xml:space="preserve"> в КЗ «Менський будинок культури» та його філіях</w:t>
      </w:r>
      <w:r>
        <w:rPr>
          <w:sz w:val="28"/>
          <w:szCs w:val="28"/>
          <w:lang w:bidi="uk-UA" w:eastAsia="en-US"/>
        </w:rPr>
        <w:t xml:space="preserve"> було проведено 1354</w:t>
      </w:r>
      <w:r>
        <w:rPr>
          <w:sz w:val="28"/>
          <w:szCs w:val="28"/>
          <w:lang w:bidi="uk-UA" w:eastAsia="en-US"/>
        </w:rPr>
        <w:t xml:space="preserve"> мистецьких заходів, більшість з яких в режимі онлайн. </w:t>
      </w:r>
      <w:r>
        <w:rPr>
          <w:sz w:val="28"/>
          <w:szCs w:val="28"/>
          <w:lang w:bidi="uk-UA" w:eastAsia="en-US"/>
        </w:rPr>
        <w:t xml:space="preserve">Реалізації заходів сприяли 178 клубних формувань та творчих колективів (в тому числі 9 зразкових та народних), в яких займається 1889 учасників.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П</w:t>
      </w:r>
      <w:r>
        <w:rPr>
          <w:sz w:val="28"/>
          <w:szCs w:val="28"/>
          <w:lang w:bidi="uk-UA" w:eastAsia="en-US"/>
        </w:rPr>
        <w:t xml:space="preserve">остійно забезпечувалась підтримка самодіяльних творчих колективів, клубних формувань, їх участь у Міжнародних та Всеукраїнських конкурсах та фестивалях. Наші колективи стали лауреатами 12 </w:t>
      </w:r>
      <w:r>
        <w:rPr>
          <w:sz w:val="28"/>
          <w:szCs w:val="28"/>
          <w:lang w:bidi="uk-UA" w:eastAsia="en-US"/>
        </w:rPr>
        <w:t xml:space="preserve">конкурсів, які проводились в режимі онлайн.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Для організації та проведення заходів</w:t>
      </w:r>
      <w:r>
        <w:rPr>
          <w:sz w:val="28"/>
          <w:szCs w:val="28"/>
          <w:lang w:bidi="uk-UA" w:eastAsia="en-US"/>
        </w:rPr>
        <w:t xml:space="preserve"> у 2022 році всього</w:t>
      </w:r>
      <w:r>
        <w:rPr>
          <w:sz w:val="28"/>
          <w:szCs w:val="28"/>
          <w:lang w:bidi="uk-UA" w:eastAsia="en-US"/>
        </w:rPr>
        <w:t xml:space="preserve"> використано 73 477 грн.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Довгоочікуваною подією в культурному та молодіжному житті громади стало відкриття в КЗ «Центр культури та дозвілля молоді» Молодіжного  простору, завдяки участі в програмі «</w:t>
      </w:r>
      <w:r>
        <w:rPr>
          <w:sz w:val="28"/>
          <w:szCs w:val="28"/>
          <w:lang w:val="en-US" w:bidi="uk-UA" w:eastAsia="en-US"/>
        </w:rPr>
        <w:t xml:space="preserve">DOBRE</w:t>
      </w:r>
      <w:r>
        <w:rPr>
          <w:sz w:val="28"/>
          <w:szCs w:val="28"/>
          <w:lang w:bidi="uk-UA" w:eastAsia="en-US"/>
        </w:rPr>
        <w:t xml:space="preserve">», що дало змогу мешканцям та гостям міста проводити  якісно, </w:t>
      </w:r>
      <w:r>
        <w:rPr>
          <w:sz w:val="28"/>
          <w:szCs w:val="28"/>
          <w:lang w:bidi="uk-UA" w:eastAsia="en-US"/>
        </w:rPr>
        <w:t xml:space="preserve">різноманітно</w:t>
      </w:r>
      <w:r>
        <w:rPr>
          <w:sz w:val="28"/>
          <w:szCs w:val="28"/>
          <w:lang w:bidi="uk-UA" w:eastAsia="en-US"/>
        </w:rPr>
        <w:t xml:space="preserve"> та цікаво свій вільний час. </w:t>
      </w:r>
      <w:r>
        <w:rPr>
          <w:sz w:val="28"/>
          <w:szCs w:val="28"/>
          <w:lang w:bidi="uk-UA" w:eastAsia="en-US"/>
        </w:rPr>
        <w:t xml:space="preserve">Разом </w:t>
      </w:r>
      <w:r>
        <w:rPr>
          <w:sz w:val="28"/>
          <w:szCs w:val="28"/>
          <w:lang w:bidi="uk-UA" w:eastAsia="en-US"/>
        </w:rPr>
        <w:t xml:space="preserve">з тим підвищилась роль закладу в суспільному житті громади.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Комунальним закладом «Менський краєзнавчий </w:t>
      </w:r>
      <w:r>
        <w:rPr>
          <w:sz w:val="28"/>
          <w:szCs w:val="28"/>
          <w:lang w:bidi="uk-UA" w:eastAsia="en-US"/>
        </w:rPr>
        <w:t xml:space="preserve">музей </w:t>
      </w:r>
      <w:r>
        <w:rPr>
          <w:sz w:val="28"/>
          <w:szCs w:val="28"/>
          <w:lang w:bidi="uk-UA" w:eastAsia="en-US"/>
        </w:rPr>
        <w:t xml:space="preserve">ім. </w:t>
      </w:r>
      <w:r>
        <w:rPr>
          <w:sz w:val="28"/>
          <w:szCs w:val="28"/>
          <w:lang w:bidi="uk-UA" w:eastAsia="en-US"/>
        </w:rPr>
        <w:t xml:space="preserve">В.Ф.Покотила</w:t>
      </w:r>
      <w:r>
        <w:rPr>
          <w:sz w:val="28"/>
          <w:szCs w:val="28"/>
          <w:lang w:bidi="uk-UA" w:eastAsia="en-US"/>
        </w:rPr>
        <w:t xml:space="preserve">»  обслуговано екскурсіями близько 2000 осіб. Проведено понад 3</w:t>
      </w:r>
      <w:r>
        <w:rPr>
          <w:sz w:val="28"/>
          <w:szCs w:val="28"/>
          <w:lang w:bidi="uk-UA" w:eastAsia="en-US"/>
        </w:rPr>
        <w:t xml:space="preserve">0 екскурс</w:t>
      </w:r>
      <w:r>
        <w:rPr>
          <w:sz w:val="28"/>
          <w:szCs w:val="28"/>
          <w:lang w:bidi="uk-UA" w:eastAsia="en-US"/>
        </w:rPr>
        <w:t xml:space="preserve">ій для туристів нашої громади та внутрішньо переміщених осіб.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  <w:lang w:bidi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bidi="uk-UA" w:eastAsia="en-US"/>
        </w:rPr>
        <w:t xml:space="preserve">До музею </w:t>
      </w:r>
      <w:r>
        <w:rPr>
          <w:sz w:val="28"/>
          <w:szCs w:val="28"/>
          <w:lang w:bidi="uk-UA" w:eastAsia="en-US"/>
        </w:rPr>
        <w:t xml:space="preserve">надійшло більше 205 експонатів які вже пройшли наукову інвентар</w:t>
      </w:r>
      <w:r>
        <w:rPr>
          <w:sz w:val="28"/>
          <w:szCs w:val="28"/>
          <w:lang w:bidi="uk-UA" w:eastAsia="en-US"/>
        </w:rPr>
        <w:t xml:space="preserve">изацію та поповнили експозиції. </w:t>
      </w:r>
      <w:r>
        <w:rPr>
          <w:sz w:val="28"/>
          <w:szCs w:val="28"/>
          <w:lang w:bidi="uk-UA" w:eastAsia="en-US"/>
        </w:rPr>
        <w:t xml:space="preserve">На сьогодні кількість експонатів складає 19575.</w:t>
      </w:r>
      <w:r>
        <w:rPr>
          <w:sz w:val="28"/>
          <w:lang w:bidi="uk-UA" w:eastAsia="en-US"/>
        </w:rPr>
      </w:r>
      <w:r/>
    </w:p>
    <w:p>
      <w:pPr>
        <w:ind w:firstLine="567"/>
        <w:jc w:val="both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pacing w:val="-2"/>
          <w:sz w:val="28"/>
          <w:szCs w:val="28"/>
        </w:rPr>
        <w:t xml:space="preserve">КЗ</w:t>
      </w:r>
      <w:r>
        <w:rPr>
          <w:spacing w:val="-2"/>
          <w:sz w:val="28"/>
          <w:szCs w:val="28"/>
        </w:rPr>
        <w:t xml:space="preserve"> «Менська публічна бібліотека» разом з сільськими філіями в своїй роботі орієнтувалися на задоволення інформаційно-культурних потреб жителів громади, на потреби і запити основних категорій користувачів.</w:t>
      </w:r>
      <w:r/>
    </w:p>
    <w:p>
      <w:pPr>
        <w:ind w:firstLine="567"/>
        <w:jc w:val="both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Послугами бібліотек у звітному періоді скористалися 8505 користувачів, в т. ч. 2504 дітей. </w:t>
      </w:r>
      <w:r>
        <w:rPr>
          <w:sz w:val="28"/>
          <w:szCs w:val="28"/>
        </w:rPr>
        <w:t xml:space="preserve">Пр</w:t>
      </w:r>
      <w:r>
        <w:rPr>
          <w:sz w:val="28"/>
          <w:szCs w:val="28"/>
        </w:rPr>
        <w:t xml:space="preserve">отягом року до Менської міської бібліотеки зареєструвалося  2005 </w:t>
      </w:r>
      <w:r>
        <w:rPr>
          <w:sz w:val="28"/>
          <w:szCs w:val="28"/>
          <w:lang w:bidi="uk-UA" w:eastAsia="en-US"/>
        </w:rPr>
        <w:t xml:space="preserve">користувачів</w:t>
      </w:r>
      <w:r>
        <w:rPr>
          <w:sz w:val="28"/>
          <w:szCs w:val="28"/>
        </w:rPr>
        <w:t xml:space="preserve">, з них 776 дітей. Для задоволення читацьких потреб КЗ «Менська публічна бібліотека» отримав літературу з обмінного фонду Чернігівської обласної універсальної наукова бібліотека </w:t>
      </w:r>
      <w:r>
        <w:rPr>
          <w:sz w:val="28"/>
          <w:szCs w:val="28"/>
        </w:rPr>
        <w:t xml:space="preserve">iм</w:t>
      </w:r>
      <w:r>
        <w:rPr>
          <w:sz w:val="28"/>
          <w:szCs w:val="28"/>
        </w:rPr>
        <w:t xml:space="preserve">. В.Г. Короленка  - 172 примірника на суму 35 662 грн. Також для бібліотек громади було подаровано 509 примірників книг на суму 22 588 грн.</w:t>
      </w:r>
      <w:r/>
    </w:p>
    <w:p>
      <w:pPr>
        <w:ind w:firstLine="567"/>
        <w:jc w:val="both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Пр</w:t>
      </w:r>
      <w:r>
        <w:rPr>
          <w:sz w:val="28"/>
          <w:szCs w:val="28"/>
        </w:rPr>
        <w:t xml:space="preserve">отягом року активізувалась робота </w:t>
      </w:r>
      <w:r>
        <w:rPr>
          <w:sz w:val="28"/>
          <w:szCs w:val="28"/>
        </w:rPr>
        <w:t xml:space="preserve">бібліоняні</w:t>
      </w:r>
      <w:r>
        <w:rPr>
          <w:sz w:val="28"/>
          <w:szCs w:val="28"/>
        </w:rPr>
        <w:t xml:space="preserve"> (11 дітей дошкільного віку, постійні користувачі) проведено 35 занять з даною категорією дітей.</w:t>
      </w:r>
      <w:r>
        <w:rPr>
          <w:sz w:val="28"/>
        </w:rPr>
      </w:r>
      <w:r/>
    </w:p>
    <w:p>
      <w:pPr>
        <w:ind w:firstLine="567"/>
        <w:jc w:val="both"/>
        <w:rPr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</w:rPr>
        <w:t xml:space="preserve">Пріоритетним напрямком</w:t>
      </w:r>
      <w:r>
        <w:rPr>
          <w:bCs/>
          <w:sz w:val="28"/>
          <w:szCs w:val="28"/>
        </w:rPr>
        <w:t xml:space="preserve"> роботи</w:t>
      </w:r>
      <w:r>
        <w:rPr>
          <w:bCs/>
          <w:sz w:val="28"/>
          <w:szCs w:val="28"/>
        </w:rPr>
        <w:t xml:space="preserve"> відділу культури </w:t>
      </w:r>
      <w:r>
        <w:rPr>
          <w:bCs/>
          <w:sz w:val="28"/>
          <w:szCs w:val="28"/>
        </w:rPr>
        <w:t xml:space="preserve">залишається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збереження мережі та </w:t>
      </w:r>
      <w:r>
        <w:rPr>
          <w:bCs/>
          <w:sz w:val="28"/>
          <w:szCs w:val="28"/>
        </w:rPr>
        <w:t xml:space="preserve">матеріально-технічної бази закладів культури.</w:t>
      </w:r>
      <w:r>
        <w:rPr>
          <w:sz w:val="28"/>
        </w:rPr>
      </w:r>
      <w:r/>
    </w:p>
    <w:p>
      <w:pPr>
        <w:ind w:firstLine="567"/>
        <w:jc w:val="both"/>
        <w:rPr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</w:rPr>
        <w:t xml:space="preserve">Для проведення опалювального сезону 2022-2023 року для закладів  культури закуплені паливні матер</w:t>
      </w:r>
      <w:r>
        <w:rPr>
          <w:bCs/>
          <w:sz w:val="28"/>
          <w:szCs w:val="28"/>
        </w:rPr>
        <w:t xml:space="preserve">іали</w:t>
      </w:r>
      <w:r>
        <w:rPr>
          <w:bCs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ind w:firstLine="567"/>
        <w:jc w:val="both"/>
        <w:rPr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дрова для опалення приміщень філій у кількості 136 куб.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метрів на суму 142800,00 грн.;</w:t>
      </w:r>
      <w:r>
        <w:rPr>
          <w:sz w:val="28"/>
        </w:rPr>
      </w:r>
      <w:r/>
    </w:p>
    <w:p>
      <w:pPr>
        <w:ind w:firstLine="567"/>
        <w:jc w:val="both"/>
        <w:rPr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торфобрикет для Киселівської філії КЗ «Менський будинок культури» у кількості 12 тон на суму 45600,00 грн.;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Протягом січня – вересня 2022 року відділом культури придбано: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вогнегасники для філій КЗ «Менська публічна бібліотека» у кількості 10 штук на суму 9492,00 грн.;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ноутбук для колективу «</w:t>
      </w:r>
      <w:r>
        <w:rPr>
          <w:sz w:val="28"/>
          <w:szCs w:val="28"/>
        </w:rPr>
        <w:t xml:space="preserve">Домісольки</w:t>
      </w:r>
      <w:r>
        <w:rPr>
          <w:sz w:val="28"/>
          <w:szCs w:val="28"/>
        </w:rPr>
        <w:t xml:space="preserve">» згідно програми розвитку колективів на 2022 рік у кількості 1 штука на суму 14999,00 грн.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Протягом звітного періоду проведено та отримано послуг: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аварійний ремонт покрівлі Ушнянської філії КЗ «Менський будинок культури» на суму 4882,00 грн.;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аварійний ремонт покрівлі будівлі КЗ «Менський будинок культури» на суму 14391,00 грн.;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автомобільні послуги по підвозу шиферу, наданого із місцевого матеріального резерву, та послуги вишки для ремонту покрівлі Макошинської та Покровської філій КЗ «Менський будинок культури» на  суму 9478,02 грн.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Для поліпшення надання культурно-мистецьких послуг та підвищення їх якості в насел</w:t>
      </w:r>
      <w:r>
        <w:rPr>
          <w:sz w:val="28"/>
          <w:szCs w:val="28"/>
        </w:rPr>
        <w:t xml:space="preserve">ених пунктах громади для КЗ «Менський будинок культури» рішенням 26 сесії Менської міської ради 8 скликання був переданий легковий автомобіль.</w:t>
      </w:r>
      <w:r/>
    </w:p>
    <w:p>
      <w:pPr>
        <w:jc w:val="both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jc w:val="both"/>
        <w:rPr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</w:rPr>
      </w:r>
      <w:r/>
    </w:p>
    <w:p>
      <w:pPr>
        <w:jc w:val="both"/>
        <w:rPr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</w:rPr>
        <w:t xml:space="preserve">Начальник відділу соціально-</w:t>
      </w:r>
      <w:r/>
    </w:p>
    <w:p>
      <w:pPr>
        <w:jc w:val="both"/>
        <w:rPr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</w:rPr>
        <w:t xml:space="preserve">економічного розвитку та</w:t>
      </w:r>
      <w:r/>
    </w:p>
    <w:p>
      <w:pPr>
        <w:jc w:val="both"/>
        <w:rPr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</w:rPr>
        <w:t xml:space="preserve">інвестицій міської ради                                                          Сергій СКОРОХОД</w:t>
      </w:r>
      <w:r/>
    </w:p>
    <w:sectPr>
      <w:headerReference w:type="default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continuous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0"/>
      <w:jc w:val="right"/>
      <w:rPr>
        <w:rStyle w:val="936"/>
      </w:rPr>
      <w:framePr w:wrap="around" w:vAnchor="text" w:hAnchor="margin" w:xAlign="right" w:y="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0"/>
      <w:rPr>
        <w:rStyle w:val="936"/>
      </w:rPr>
      <w:framePr w:wrap="around" w:vAnchor="text" w:hAnchor="margin" w:xAlign="right" w:y="1"/>
    </w:pPr>
    <w:r>
      <w:rPr>
        <w:rStyle w:val="936"/>
      </w:rPr>
      <w:fldChar w:fldCharType="begin"/>
    </w:r>
    <w:r>
      <w:rPr>
        <w:rStyle w:val="936"/>
      </w:rPr>
      <w:instrText xml:space="preserve">PAGE  </w:instrText>
    </w:r>
    <w:r>
      <w:rPr>
        <w:rStyle w:val="936"/>
      </w:rPr>
      <w:fldChar w:fldCharType="end"/>
    </w:r>
    <w:r/>
  </w:p>
  <w:p>
    <w:pPr>
      <w:pStyle w:val="780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  <w:jc w:val="center"/>
      <w:rPr>
        <w:i/>
        <w:sz w:val="24"/>
      </w:rPr>
    </w:pPr>
    <w:r>
      <w:t xml:space="preserve">                                                                                         </w:t>
    </w:r>
    <w:r>
      <w:rPr>
        <w:sz w:val="24"/>
      </w:rPr>
      <w:t xml:space="preserve">      </w:t>
    </w:r>
    <w:r>
      <w:rPr>
        <w:sz w:val="24"/>
      </w:rPr>
      <w:fldChar w:fldCharType="begin"/>
    </w:r>
    <w:r>
      <w:rPr>
        <w:sz w:val="24"/>
      </w:rPr>
      <w:instrText xml:space="preserve">PAGE \* MERGEFORMAT</w:instrText>
    </w:r>
    <w:r>
      <w:rPr>
        <w:sz w:val="24"/>
      </w:rPr>
      <w:fldChar w:fldCharType="separate"/>
    </w:r>
    <w:r>
      <w:rPr>
        <w:sz w:val="24"/>
      </w:rPr>
      <w:t xml:space="preserve">1</w:t>
    </w:r>
    <w:r>
      <w:rPr>
        <w:sz w:val="24"/>
      </w:rPr>
      <w:fldChar w:fldCharType="end"/>
    </w:r>
    <w:r>
      <w:rPr>
        <w:sz w:val="24"/>
      </w:rPr>
      <w:t xml:space="preserve">                                       </w:t>
    </w:r>
    <w:r>
      <w:rPr>
        <w:i/>
        <w:sz w:val="24"/>
      </w:rPr>
      <w:t xml:space="preserve">продовження додатка</w:t>
    </w:r>
    <w:r/>
  </w:p>
  <w:p>
    <w:pPr>
      <w:pStyle w:val="77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  <w:jc w:val="center"/>
    </w:pPr>
    <w:r/>
    <w:r/>
  </w:p>
  <w:p>
    <w:pPr>
      <w:pStyle w:val="77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1335" w:hanging="795"/>
        <w:tabs>
          <w:tab w:val="num" w:pos="1335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2"/>
  </w:num>
  <w:num w:numId="3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0" w:default="1">
    <w:name w:val="Normal"/>
    <w:qFormat/>
    <w:rPr>
      <w:lang w:eastAsia="zh-CN"/>
    </w:rPr>
  </w:style>
  <w:style w:type="paragraph" w:styleId="731">
    <w:name w:val="Heading 1"/>
    <w:basedOn w:val="730"/>
    <w:next w:val="730"/>
    <w:link w:val="760"/>
    <w:rPr>
      <w:sz w:val="36"/>
    </w:rPr>
    <w:pPr>
      <w:ind w:left="567"/>
      <w:keepNext/>
      <w:outlineLvl w:val="0"/>
    </w:pPr>
  </w:style>
  <w:style w:type="paragraph" w:styleId="732">
    <w:name w:val="Heading 2"/>
    <w:basedOn w:val="730"/>
    <w:next w:val="730"/>
    <w:link w:val="761"/>
    <w:rPr>
      <w:sz w:val="28"/>
    </w:rPr>
    <w:pPr>
      <w:ind w:left="567" w:firstLine="567"/>
      <w:jc w:val="both"/>
      <w:keepNext/>
      <w:spacing w:lineRule="exact" w:line="240"/>
      <w:outlineLvl w:val="1"/>
    </w:pPr>
  </w:style>
  <w:style w:type="paragraph" w:styleId="733">
    <w:name w:val="Heading 3"/>
    <w:link w:val="762"/>
    <w:qFormat/>
    <w:uiPriority w:val="9"/>
    <w:unhideWhenUsed/>
    <w:rPr>
      <w:rFonts w:ascii="Arial" w:hAnsi="Arial" w:cs="Arial" w:eastAsia="Arial"/>
      <w:sz w:val="30"/>
      <w:szCs w:val="30"/>
      <w:lang w:eastAsia="zh-CN"/>
    </w:rPr>
    <w:pPr>
      <w:keepLines/>
      <w:keepNext/>
      <w:spacing w:after="200" w:before="320"/>
      <w:outlineLvl w:val="2"/>
    </w:pPr>
  </w:style>
  <w:style w:type="paragraph" w:styleId="734">
    <w:name w:val="Heading 4"/>
    <w:link w:val="763"/>
    <w:qFormat/>
    <w:uiPriority w:val="9"/>
    <w:unhideWhenUsed/>
    <w:rPr>
      <w:rFonts w:ascii="Arial" w:hAnsi="Arial" w:cs="Arial" w:eastAsia="Arial"/>
      <w:b/>
      <w:bCs/>
      <w:sz w:val="26"/>
      <w:szCs w:val="26"/>
      <w:lang w:eastAsia="zh-CN"/>
    </w:rPr>
    <w:pPr>
      <w:keepLines/>
      <w:keepNext/>
      <w:spacing w:after="200" w:before="320"/>
      <w:outlineLvl w:val="3"/>
    </w:pPr>
  </w:style>
  <w:style w:type="paragraph" w:styleId="735">
    <w:name w:val="Heading 5"/>
    <w:link w:val="764"/>
    <w:qFormat/>
    <w:uiPriority w:val="9"/>
    <w:unhideWhenUsed/>
    <w:rPr>
      <w:rFonts w:ascii="Arial" w:hAnsi="Arial" w:cs="Arial" w:eastAsia="Arial"/>
      <w:b/>
      <w:bCs/>
      <w:sz w:val="24"/>
      <w:szCs w:val="24"/>
      <w:lang w:eastAsia="zh-CN"/>
    </w:rPr>
    <w:pPr>
      <w:keepLines/>
      <w:keepNext/>
      <w:spacing w:after="200" w:before="320"/>
      <w:outlineLvl w:val="4"/>
    </w:pPr>
  </w:style>
  <w:style w:type="paragraph" w:styleId="736">
    <w:name w:val="Heading 6"/>
    <w:link w:val="765"/>
    <w:qFormat/>
    <w:uiPriority w:val="9"/>
    <w:unhideWhenUsed/>
    <w:rPr>
      <w:rFonts w:ascii="Arial" w:hAnsi="Arial" w:cs="Arial" w:eastAsia="Arial"/>
      <w:b/>
      <w:bCs/>
      <w:sz w:val="22"/>
      <w:szCs w:val="22"/>
      <w:lang w:eastAsia="zh-CN"/>
    </w:rPr>
    <w:pPr>
      <w:keepLines/>
      <w:keepNext/>
      <w:spacing w:after="200" w:before="320"/>
      <w:outlineLvl w:val="5"/>
    </w:pPr>
  </w:style>
  <w:style w:type="paragraph" w:styleId="737">
    <w:name w:val="Heading 7"/>
    <w:link w:val="7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zh-CN"/>
    </w:rPr>
    <w:pPr>
      <w:keepLines/>
      <w:keepNext/>
      <w:spacing w:after="200" w:before="320"/>
      <w:outlineLvl w:val="6"/>
    </w:pPr>
  </w:style>
  <w:style w:type="paragraph" w:styleId="738">
    <w:name w:val="Heading 8"/>
    <w:link w:val="767"/>
    <w:qFormat/>
    <w:uiPriority w:val="9"/>
    <w:unhideWhenUsed/>
    <w:rPr>
      <w:rFonts w:ascii="Arial" w:hAnsi="Arial" w:cs="Arial" w:eastAsia="Arial"/>
      <w:i/>
      <w:iCs/>
      <w:sz w:val="22"/>
      <w:szCs w:val="22"/>
      <w:lang w:eastAsia="zh-CN"/>
    </w:rPr>
    <w:pPr>
      <w:keepLines/>
      <w:keepNext/>
      <w:spacing w:after="200" w:before="320"/>
      <w:outlineLvl w:val="7"/>
    </w:pPr>
  </w:style>
  <w:style w:type="paragraph" w:styleId="739">
    <w:name w:val="Heading 9"/>
    <w:link w:val="768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after="200" w:before="320"/>
      <w:outlineLvl w:val="8"/>
    </w:pPr>
  </w:style>
  <w:style w:type="character" w:styleId="740" w:default="1">
    <w:name w:val="Default Paragraph Font"/>
    <w:uiPriority w:val="1"/>
    <w:unhideWhenUsed/>
  </w:style>
  <w:style w:type="table" w:styleId="7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2" w:default="1">
    <w:name w:val="No List"/>
    <w:uiPriority w:val="99"/>
    <w:semiHidden/>
    <w:unhideWhenUsed/>
  </w:style>
  <w:style w:type="character" w:styleId="743" w:customStyle="1">
    <w:name w:val="Heading 1 Char"/>
    <w:basedOn w:val="740"/>
    <w:uiPriority w:val="9"/>
    <w:rPr>
      <w:rFonts w:ascii="Arial" w:hAnsi="Arial" w:cs="Arial" w:eastAsia="Arial"/>
      <w:sz w:val="40"/>
      <w:szCs w:val="40"/>
    </w:rPr>
  </w:style>
  <w:style w:type="character" w:styleId="744" w:customStyle="1">
    <w:name w:val="Heading 2 Char"/>
    <w:basedOn w:val="740"/>
    <w:uiPriority w:val="9"/>
    <w:rPr>
      <w:rFonts w:ascii="Arial" w:hAnsi="Arial" w:cs="Arial" w:eastAsia="Arial"/>
      <w:sz w:val="34"/>
    </w:rPr>
  </w:style>
  <w:style w:type="character" w:styleId="745" w:customStyle="1">
    <w:name w:val="Heading 3 Char"/>
    <w:basedOn w:val="740"/>
    <w:uiPriority w:val="9"/>
    <w:rPr>
      <w:rFonts w:ascii="Arial" w:hAnsi="Arial" w:cs="Arial" w:eastAsia="Arial"/>
      <w:sz w:val="30"/>
      <w:szCs w:val="30"/>
    </w:rPr>
  </w:style>
  <w:style w:type="character" w:styleId="746" w:customStyle="1">
    <w:name w:val="Heading 4 Char"/>
    <w:basedOn w:val="740"/>
    <w:uiPriority w:val="9"/>
    <w:rPr>
      <w:rFonts w:ascii="Arial" w:hAnsi="Arial" w:cs="Arial" w:eastAsia="Arial"/>
      <w:b/>
      <w:bCs/>
      <w:sz w:val="26"/>
      <w:szCs w:val="26"/>
    </w:rPr>
  </w:style>
  <w:style w:type="character" w:styleId="747" w:customStyle="1">
    <w:name w:val="Heading 5 Char"/>
    <w:basedOn w:val="740"/>
    <w:uiPriority w:val="9"/>
    <w:rPr>
      <w:rFonts w:ascii="Arial" w:hAnsi="Arial" w:cs="Arial" w:eastAsia="Arial"/>
      <w:b/>
      <w:bCs/>
      <w:sz w:val="24"/>
      <w:szCs w:val="24"/>
    </w:rPr>
  </w:style>
  <w:style w:type="character" w:styleId="748" w:customStyle="1">
    <w:name w:val="Heading 6 Char"/>
    <w:basedOn w:val="740"/>
    <w:uiPriority w:val="9"/>
    <w:rPr>
      <w:rFonts w:ascii="Arial" w:hAnsi="Arial" w:cs="Arial" w:eastAsia="Arial"/>
      <w:b/>
      <w:bCs/>
      <w:sz w:val="22"/>
      <w:szCs w:val="22"/>
    </w:rPr>
  </w:style>
  <w:style w:type="character" w:styleId="749" w:customStyle="1">
    <w:name w:val="Heading 7 Char"/>
    <w:basedOn w:val="7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0" w:customStyle="1">
    <w:name w:val="Heading 8 Char"/>
    <w:basedOn w:val="740"/>
    <w:uiPriority w:val="9"/>
    <w:rPr>
      <w:rFonts w:ascii="Arial" w:hAnsi="Arial" w:cs="Arial" w:eastAsia="Arial"/>
      <w:i/>
      <w:iCs/>
      <w:sz w:val="22"/>
      <w:szCs w:val="22"/>
    </w:rPr>
  </w:style>
  <w:style w:type="character" w:styleId="751" w:customStyle="1">
    <w:name w:val="Heading 9 Char"/>
    <w:basedOn w:val="740"/>
    <w:uiPriority w:val="9"/>
    <w:rPr>
      <w:rFonts w:ascii="Arial" w:hAnsi="Arial" w:cs="Arial" w:eastAsia="Arial"/>
      <w:i/>
      <w:iCs/>
      <w:sz w:val="21"/>
      <w:szCs w:val="21"/>
    </w:rPr>
  </w:style>
  <w:style w:type="character" w:styleId="752" w:customStyle="1">
    <w:name w:val="Title Char"/>
    <w:basedOn w:val="740"/>
    <w:uiPriority w:val="10"/>
    <w:rPr>
      <w:sz w:val="48"/>
      <w:szCs w:val="48"/>
    </w:rPr>
  </w:style>
  <w:style w:type="character" w:styleId="753" w:customStyle="1">
    <w:name w:val="Subtitle Char"/>
    <w:basedOn w:val="740"/>
    <w:uiPriority w:val="11"/>
    <w:rPr>
      <w:sz w:val="24"/>
      <w:szCs w:val="24"/>
    </w:rPr>
  </w:style>
  <w:style w:type="character" w:styleId="754" w:customStyle="1">
    <w:name w:val="Quote Char"/>
    <w:uiPriority w:val="29"/>
    <w:rPr>
      <w:i/>
    </w:rPr>
  </w:style>
  <w:style w:type="character" w:styleId="755" w:customStyle="1">
    <w:name w:val="Intense Quote Char"/>
    <w:uiPriority w:val="30"/>
    <w:rPr>
      <w:i/>
    </w:rPr>
  </w:style>
  <w:style w:type="character" w:styleId="756" w:customStyle="1">
    <w:name w:val="Header Char"/>
    <w:basedOn w:val="740"/>
    <w:uiPriority w:val="99"/>
  </w:style>
  <w:style w:type="character" w:styleId="757" w:customStyle="1">
    <w:name w:val="Caption Char"/>
    <w:uiPriority w:val="99"/>
  </w:style>
  <w:style w:type="character" w:styleId="758" w:customStyle="1">
    <w:name w:val="Footnote Text Char"/>
    <w:uiPriority w:val="99"/>
    <w:rPr>
      <w:sz w:val="18"/>
    </w:rPr>
  </w:style>
  <w:style w:type="character" w:styleId="759" w:customStyle="1">
    <w:name w:val="Endnote Text Char"/>
    <w:uiPriority w:val="99"/>
    <w:rPr>
      <w:sz w:val="20"/>
    </w:rPr>
  </w:style>
  <w:style w:type="character" w:styleId="760" w:customStyle="1">
    <w:name w:val="Заголовок 1 Знак"/>
    <w:link w:val="731"/>
    <w:uiPriority w:val="9"/>
    <w:rPr>
      <w:rFonts w:ascii="Arial" w:hAnsi="Arial" w:cs="Arial" w:eastAsia="Arial"/>
      <w:sz w:val="40"/>
      <w:szCs w:val="40"/>
    </w:rPr>
  </w:style>
  <w:style w:type="character" w:styleId="761" w:customStyle="1">
    <w:name w:val="Заголовок 2 Знак"/>
    <w:link w:val="732"/>
    <w:uiPriority w:val="9"/>
    <w:rPr>
      <w:rFonts w:ascii="Arial" w:hAnsi="Arial" w:cs="Arial" w:eastAsia="Arial"/>
      <w:sz w:val="34"/>
    </w:rPr>
  </w:style>
  <w:style w:type="character" w:styleId="762" w:customStyle="1">
    <w:name w:val="Заголовок 3 Знак"/>
    <w:link w:val="733"/>
    <w:uiPriority w:val="9"/>
    <w:rPr>
      <w:rFonts w:ascii="Arial" w:hAnsi="Arial" w:cs="Arial" w:eastAsia="Arial"/>
      <w:sz w:val="30"/>
      <w:szCs w:val="30"/>
    </w:rPr>
  </w:style>
  <w:style w:type="character" w:styleId="763" w:customStyle="1">
    <w:name w:val="Заголовок 4 Знак"/>
    <w:link w:val="734"/>
    <w:uiPriority w:val="9"/>
    <w:rPr>
      <w:rFonts w:ascii="Arial" w:hAnsi="Arial" w:cs="Arial" w:eastAsia="Arial"/>
      <w:b/>
      <w:bCs/>
      <w:sz w:val="26"/>
      <w:szCs w:val="26"/>
    </w:rPr>
  </w:style>
  <w:style w:type="character" w:styleId="764" w:customStyle="1">
    <w:name w:val="Заголовок 5 Знак"/>
    <w:link w:val="735"/>
    <w:uiPriority w:val="9"/>
    <w:rPr>
      <w:rFonts w:ascii="Arial" w:hAnsi="Arial" w:cs="Arial" w:eastAsia="Arial"/>
      <w:b/>
      <w:bCs/>
      <w:sz w:val="24"/>
      <w:szCs w:val="24"/>
    </w:rPr>
  </w:style>
  <w:style w:type="character" w:styleId="765" w:customStyle="1">
    <w:name w:val="Заголовок 6 Знак"/>
    <w:link w:val="736"/>
    <w:uiPriority w:val="9"/>
    <w:rPr>
      <w:rFonts w:ascii="Arial" w:hAnsi="Arial" w:cs="Arial" w:eastAsia="Arial"/>
      <w:b/>
      <w:bCs/>
      <w:sz w:val="22"/>
      <w:szCs w:val="22"/>
    </w:rPr>
  </w:style>
  <w:style w:type="character" w:styleId="766" w:customStyle="1">
    <w:name w:val="Заголовок 7 Знак"/>
    <w:link w:val="7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7" w:customStyle="1">
    <w:name w:val="Заголовок 8 Знак"/>
    <w:link w:val="738"/>
    <w:uiPriority w:val="9"/>
    <w:rPr>
      <w:rFonts w:ascii="Arial" w:hAnsi="Arial" w:cs="Arial" w:eastAsia="Arial"/>
      <w:i/>
      <w:iCs/>
      <w:sz w:val="22"/>
      <w:szCs w:val="22"/>
    </w:rPr>
  </w:style>
  <w:style w:type="character" w:styleId="768" w:customStyle="1">
    <w:name w:val="Заголовок 9 Знак"/>
    <w:link w:val="739"/>
    <w:uiPriority w:val="9"/>
    <w:rPr>
      <w:rFonts w:ascii="Arial" w:hAnsi="Arial" w:cs="Arial" w:eastAsia="Arial"/>
      <w:i/>
      <w:iCs/>
      <w:sz w:val="21"/>
      <w:szCs w:val="21"/>
    </w:rPr>
  </w:style>
  <w:style w:type="paragraph" w:styleId="769">
    <w:name w:val="No Spacing"/>
    <w:rPr>
      <w:sz w:val="24"/>
      <w:szCs w:val="24"/>
      <w:lang w:val="ru-RU" w:eastAsia="ru-RU"/>
    </w:rPr>
  </w:style>
  <w:style w:type="paragraph" w:styleId="770">
    <w:name w:val="Title"/>
    <w:link w:val="771"/>
    <w:qFormat/>
    <w:uiPriority w:val="10"/>
    <w:rPr>
      <w:sz w:val="48"/>
      <w:szCs w:val="48"/>
      <w:lang w:eastAsia="zh-CN"/>
    </w:rPr>
    <w:pPr>
      <w:contextualSpacing w:val="true"/>
      <w:spacing w:after="200" w:before="300"/>
    </w:pPr>
  </w:style>
  <w:style w:type="character" w:styleId="771" w:customStyle="1">
    <w:name w:val="Назва Знак"/>
    <w:link w:val="770"/>
    <w:uiPriority w:val="10"/>
    <w:rPr>
      <w:sz w:val="48"/>
      <w:szCs w:val="48"/>
    </w:rPr>
  </w:style>
  <w:style w:type="paragraph" w:styleId="772">
    <w:name w:val="Subtitle"/>
    <w:link w:val="773"/>
    <w:qFormat/>
    <w:uiPriority w:val="11"/>
    <w:rPr>
      <w:sz w:val="24"/>
      <w:szCs w:val="24"/>
      <w:lang w:eastAsia="zh-CN"/>
    </w:rPr>
    <w:pPr>
      <w:spacing w:after="200" w:before="200"/>
    </w:pPr>
  </w:style>
  <w:style w:type="character" w:styleId="773" w:customStyle="1">
    <w:name w:val="Підзаголовок Знак"/>
    <w:link w:val="772"/>
    <w:uiPriority w:val="11"/>
    <w:rPr>
      <w:sz w:val="24"/>
      <w:szCs w:val="24"/>
    </w:rPr>
  </w:style>
  <w:style w:type="paragraph" w:styleId="774">
    <w:name w:val="Quote"/>
    <w:link w:val="775"/>
    <w:qFormat/>
    <w:uiPriority w:val="29"/>
    <w:rPr>
      <w:i/>
      <w:lang w:eastAsia="zh-CN"/>
    </w:rPr>
    <w:pPr>
      <w:ind w:left="720" w:right="720"/>
    </w:pPr>
  </w:style>
  <w:style w:type="character" w:styleId="775" w:customStyle="1">
    <w:name w:val="Цитата Знак"/>
    <w:link w:val="774"/>
    <w:uiPriority w:val="29"/>
    <w:rPr>
      <w:i/>
    </w:rPr>
  </w:style>
  <w:style w:type="paragraph" w:styleId="776">
    <w:name w:val="Intense Quote"/>
    <w:link w:val="777"/>
    <w:qFormat/>
    <w:uiPriority w:val="30"/>
    <w:rPr>
      <w:i/>
      <w:lang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7" w:customStyle="1">
    <w:name w:val="Насичена цитата Знак"/>
    <w:link w:val="776"/>
    <w:uiPriority w:val="30"/>
    <w:rPr>
      <w:i/>
    </w:rPr>
  </w:style>
  <w:style w:type="paragraph" w:styleId="778">
    <w:name w:val="Header"/>
    <w:basedOn w:val="730"/>
    <w:link w:val="779"/>
    <w:pPr>
      <w:tabs>
        <w:tab w:val="center" w:pos="4677" w:leader="none"/>
        <w:tab w:val="right" w:pos="9355" w:leader="none"/>
      </w:tabs>
    </w:pPr>
  </w:style>
  <w:style w:type="character" w:styleId="779" w:customStyle="1">
    <w:name w:val="Верхній колонтитул Знак"/>
    <w:link w:val="778"/>
    <w:uiPriority w:val="99"/>
  </w:style>
  <w:style w:type="paragraph" w:styleId="780">
    <w:name w:val="Footer"/>
    <w:basedOn w:val="730"/>
    <w:link w:val="783"/>
    <w:pPr>
      <w:tabs>
        <w:tab w:val="center" w:pos="4677" w:leader="none"/>
        <w:tab w:val="right" w:pos="9355" w:leader="none"/>
      </w:tabs>
    </w:pPr>
  </w:style>
  <w:style w:type="character" w:styleId="781" w:customStyle="1">
    <w:name w:val="Footer Char"/>
    <w:uiPriority w:val="99"/>
  </w:style>
  <w:style w:type="paragraph" w:styleId="782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83" w:customStyle="1">
    <w:name w:val="Нижній колонтитул Знак"/>
    <w:link w:val="780"/>
    <w:uiPriority w:val="99"/>
  </w:style>
  <w:style w:type="table" w:styleId="784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75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10">
    <w:name w:val="Hyperlink"/>
    <w:uiPriority w:val="99"/>
    <w:unhideWhenUsed/>
    <w:rPr>
      <w:color w:val="0000FF"/>
      <w:u w:val="single"/>
    </w:rPr>
  </w:style>
  <w:style w:type="paragraph" w:styleId="911">
    <w:name w:val="footnote text"/>
    <w:link w:val="912"/>
    <w:uiPriority w:val="99"/>
    <w:semiHidden/>
    <w:unhideWhenUsed/>
    <w:rPr>
      <w:sz w:val="18"/>
      <w:lang w:eastAsia="zh-CN"/>
    </w:rPr>
    <w:pPr>
      <w:spacing w:after="40"/>
    </w:pPr>
  </w:style>
  <w:style w:type="character" w:styleId="912" w:customStyle="1">
    <w:name w:val="Текст виноски Знак"/>
    <w:link w:val="911"/>
    <w:uiPriority w:val="99"/>
    <w:rPr>
      <w:sz w:val="18"/>
    </w:rPr>
  </w:style>
  <w:style w:type="character" w:styleId="913">
    <w:name w:val="footnote reference"/>
    <w:uiPriority w:val="99"/>
    <w:unhideWhenUsed/>
    <w:rPr>
      <w:vertAlign w:val="superscript"/>
    </w:rPr>
  </w:style>
  <w:style w:type="paragraph" w:styleId="914">
    <w:name w:val="endnote text"/>
    <w:link w:val="915"/>
    <w:uiPriority w:val="99"/>
    <w:semiHidden/>
    <w:unhideWhenUsed/>
    <w:rPr>
      <w:lang w:eastAsia="zh-CN"/>
    </w:rPr>
  </w:style>
  <w:style w:type="character" w:styleId="915" w:customStyle="1">
    <w:name w:val="Текст кінцевої виноски Знак"/>
    <w:link w:val="914"/>
    <w:uiPriority w:val="99"/>
    <w:rPr>
      <w:sz w:val="20"/>
    </w:rPr>
  </w:style>
  <w:style w:type="character" w:styleId="916">
    <w:name w:val="endnote reference"/>
    <w:uiPriority w:val="99"/>
    <w:semiHidden/>
    <w:unhideWhenUsed/>
    <w:rPr>
      <w:vertAlign w:val="superscript"/>
    </w:rPr>
  </w:style>
  <w:style w:type="paragraph" w:styleId="917">
    <w:name w:val="toc 1"/>
    <w:uiPriority w:val="39"/>
    <w:unhideWhenUsed/>
    <w:rPr>
      <w:lang w:eastAsia="zh-CN"/>
    </w:rPr>
    <w:pPr>
      <w:spacing w:after="57"/>
    </w:pPr>
  </w:style>
  <w:style w:type="paragraph" w:styleId="918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919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920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921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922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923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924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925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926">
    <w:name w:val="TOC Heading"/>
    <w:uiPriority w:val="39"/>
    <w:unhideWhenUsed/>
    <w:rPr>
      <w:lang w:eastAsia="zh-CN"/>
    </w:rPr>
  </w:style>
  <w:style w:type="paragraph" w:styleId="927">
    <w:name w:val="table of figures"/>
    <w:uiPriority w:val="99"/>
    <w:unhideWhenUsed/>
    <w:rPr>
      <w:lang w:eastAsia="zh-CN"/>
    </w:rPr>
  </w:style>
  <w:style w:type="paragraph" w:styleId="928" w:customStyle="1">
    <w:name w:val="Знак Знак Знак Знак"/>
    <w:basedOn w:val="730"/>
    <w:rPr>
      <w:rFonts w:ascii="Verdana" w:hAnsi="Verdana"/>
      <w:lang w:val="en-US" w:eastAsia="en-US"/>
    </w:rPr>
  </w:style>
  <w:style w:type="paragraph" w:styleId="929">
    <w:name w:val="Balloon Text"/>
    <w:basedOn w:val="730"/>
    <w:semiHidden/>
    <w:rPr>
      <w:rFonts w:ascii="Tahoma" w:hAnsi="Tahoma"/>
      <w:sz w:val="16"/>
      <w:szCs w:val="16"/>
    </w:rPr>
  </w:style>
  <w:style w:type="paragraph" w:styleId="930">
    <w:name w:val="Body Text"/>
    <w:basedOn w:val="730"/>
    <w:pPr>
      <w:spacing w:after="120"/>
    </w:pPr>
  </w:style>
  <w:style w:type="paragraph" w:styleId="931">
    <w:name w:val="Normal (Web)"/>
    <w:basedOn w:val="730"/>
    <w:uiPriority w:val="99"/>
    <w:pPr>
      <w:spacing w:after="100" w:afterAutospacing="1" w:before="100" w:beforeAutospacing="1"/>
    </w:pPr>
  </w:style>
  <w:style w:type="paragraph" w:styleId="932">
    <w:name w:val="Body Text Indent 2"/>
    <w:basedOn w:val="730"/>
    <w:pPr>
      <w:ind w:left="283"/>
      <w:spacing w:lineRule="auto" w:line="480" w:after="120"/>
    </w:pPr>
  </w:style>
  <w:style w:type="paragraph" w:styleId="933">
    <w:name w:val="List Paragraph"/>
    <w:basedOn w:val="730"/>
    <w:rPr>
      <w:rFonts w:eastAsia="Calibri"/>
      <w:lang w:eastAsia="uk-UA"/>
    </w:rPr>
    <w:pPr>
      <w:contextualSpacing w:val="true"/>
      <w:ind w:left="720"/>
    </w:pPr>
  </w:style>
  <w:style w:type="paragraph" w:styleId="934">
    <w:name w:val="Body Text Indent"/>
    <w:basedOn w:val="730"/>
    <w:link w:val="935"/>
    <w:rPr>
      <w:rFonts w:ascii="Calibri" w:hAnsi="Calibri" w:eastAsia="Calibri"/>
      <w:sz w:val="22"/>
      <w:szCs w:val="22"/>
      <w:lang w:eastAsia="en-US"/>
    </w:rPr>
    <w:pPr>
      <w:ind w:left="283"/>
      <w:spacing w:lineRule="auto" w:line="276" w:after="120"/>
    </w:pPr>
  </w:style>
  <w:style w:type="character" w:styleId="935" w:customStyle="1">
    <w:name w:val="Основний текст з відступом Знак"/>
    <w:link w:val="934"/>
    <w:rPr>
      <w:rFonts w:ascii="Calibri" w:hAnsi="Calibri" w:eastAsia="Calibri"/>
      <w:sz w:val="22"/>
      <w:szCs w:val="22"/>
      <w:lang w:val="uk-UA" w:bidi="ar-SA" w:eastAsia="en-US"/>
    </w:rPr>
  </w:style>
  <w:style w:type="character" w:styleId="936">
    <w:name w:val="page number"/>
    <w:basedOn w:val="740"/>
  </w:style>
  <w:style w:type="paragraph" w:styleId="937">
    <w:name w:val="Body Text Indent 3"/>
    <w:basedOn w:val="730"/>
    <w:link w:val="940"/>
    <w:rPr>
      <w:sz w:val="16"/>
      <w:szCs w:val="16"/>
    </w:rPr>
    <w:pPr>
      <w:ind w:left="283"/>
      <w:spacing w:after="120"/>
    </w:pPr>
  </w:style>
  <w:style w:type="character" w:styleId="938" w:customStyle="1">
    <w:name w:val="green ng-binding"/>
    <w:basedOn w:val="740"/>
  </w:style>
  <w:style w:type="character" w:styleId="939">
    <w:name w:val="Strong"/>
    <w:qFormat/>
    <w:rPr>
      <w:b/>
      <w:bCs/>
    </w:rPr>
  </w:style>
  <w:style w:type="character" w:styleId="940" w:customStyle="1">
    <w:name w:val="Основний текст з відступом 3 Знак"/>
    <w:link w:val="937"/>
    <w:rPr>
      <w:sz w:val="16"/>
      <w:szCs w:val="16"/>
    </w:rPr>
  </w:style>
  <w:style w:type="character" w:styleId="941">
    <w:name w:val="annotation reference"/>
    <w:basedOn w:val="740"/>
    <w:uiPriority w:val="99"/>
    <w:semiHidden/>
    <w:unhideWhenUsed/>
    <w:rPr>
      <w:sz w:val="16"/>
      <w:szCs w:val="16"/>
    </w:rPr>
  </w:style>
  <w:style w:type="paragraph" w:styleId="942">
    <w:name w:val="annotation text"/>
    <w:basedOn w:val="730"/>
    <w:link w:val="943"/>
    <w:uiPriority w:val="99"/>
    <w:semiHidden/>
    <w:unhideWhenUsed/>
    <w:rPr>
      <w:rFonts w:asciiTheme="minorHAnsi" w:hAnsiTheme="minorHAnsi" w:eastAsiaTheme="minorHAnsi" w:cstheme="minorBidi"/>
      <w:lang w:eastAsia="en-US"/>
    </w:rPr>
    <w:pPr>
      <w:spacing w:after="160"/>
    </w:pPr>
  </w:style>
  <w:style w:type="character" w:styleId="943" w:customStyle="1">
    <w:name w:val="Текст примітки Знак"/>
    <w:basedOn w:val="740"/>
    <w:link w:val="942"/>
    <w:uiPriority w:val="99"/>
    <w:semiHidden/>
    <w:rPr>
      <w:rFonts w:asciiTheme="minorHAnsi" w:hAnsiTheme="minorHAnsi" w:eastAsiaTheme="minorHAnsi" w:cstheme="minorBidi"/>
      <w:lang w:eastAsia="en-US"/>
    </w:rPr>
  </w:style>
  <w:style w:type="paragraph" w:styleId="944" w:customStyle="1">
    <w:name w:val="western"/>
    <w:basedOn w:val="730"/>
    <w:rPr>
      <w:sz w:val="24"/>
      <w:szCs w:val="24"/>
      <w:lang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Relationship Id="rId16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0E12EDC-17D8-446F-994D-BF4ECA1C7D7C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9</cp:revision>
  <dcterms:created xsi:type="dcterms:W3CDTF">2023-02-13T08:59:00Z</dcterms:created>
  <dcterms:modified xsi:type="dcterms:W3CDTF">2023-03-02T06:26:43Z</dcterms:modified>
</cp:coreProperties>
</file>