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1D" w:rsidRPr="00442B1D" w:rsidRDefault="00442B1D">
      <w:pPr>
        <w:ind w:right="-5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442B1D">
        <w:rPr>
          <w:sz w:val="28"/>
          <w:szCs w:val="28"/>
        </w:rPr>
        <w:t>Додаток</w:t>
      </w:r>
    </w:p>
    <w:p w:rsidR="00442B1D" w:rsidRPr="00442B1D" w:rsidRDefault="00442B1D">
      <w:pPr>
        <w:ind w:right="-57"/>
        <w:jc w:val="center"/>
        <w:rPr>
          <w:sz w:val="28"/>
          <w:szCs w:val="28"/>
        </w:rPr>
      </w:pPr>
      <w:r w:rsidRPr="00442B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</w:t>
      </w:r>
      <w:r w:rsidRPr="00442B1D">
        <w:rPr>
          <w:sz w:val="28"/>
          <w:szCs w:val="28"/>
        </w:rPr>
        <w:t xml:space="preserve">до рішення виконавчого </w:t>
      </w:r>
    </w:p>
    <w:p w:rsidR="00442B1D" w:rsidRPr="00442B1D" w:rsidRDefault="00442B1D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42B1D">
        <w:rPr>
          <w:sz w:val="28"/>
          <w:szCs w:val="28"/>
        </w:rPr>
        <w:t>комітету Менської міської ради</w:t>
      </w:r>
    </w:p>
    <w:p w:rsidR="00442B1D" w:rsidRDefault="00442B1D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42B1D">
        <w:rPr>
          <w:sz w:val="28"/>
          <w:szCs w:val="28"/>
        </w:rPr>
        <w:t>від 30 січня 2023 року № 8</w:t>
      </w:r>
    </w:p>
    <w:p w:rsidR="00442B1D" w:rsidRPr="00442B1D" w:rsidRDefault="00442B1D">
      <w:pPr>
        <w:ind w:right="-57"/>
        <w:jc w:val="center"/>
        <w:rPr>
          <w:sz w:val="28"/>
          <w:szCs w:val="28"/>
        </w:rPr>
      </w:pPr>
      <w:bookmarkStart w:id="0" w:name="_GoBack"/>
      <w:bookmarkEnd w:id="0"/>
    </w:p>
    <w:p w:rsidR="00211235" w:rsidRDefault="00834A5B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211235" w:rsidRDefault="00834A5B">
      <w:pPr>
        <w:pStyle w:val="afd"/>
        <w:ind w:firstLine="567"/>
        <w:rPr>
          <w:b/>
        </w:rPr>
      </w:pPr>
      <w:r>
        <w:rPr>
          <w:b/>
        </w:rPr>
        <w:t xml:space="preserve">про виконання бюджету Менської міської територіальної громади </w:t>
      </w:r>
    </w:p>
    <w:p w:rsidR="00211235" w:rsidRDefault="00834A5B">
      <w:pPr>
        <w:pStyle w:val="afd"/>
        <w:ind w:firstLine="567"/>
        <w:rPr>
          <w:b/>
        </w:rPr>
      </w:pPr>
      <w:r>
        <w:rPr>
          <w:b/>
        </w:rPr>
        <w:t>за 2022 рік</w:t>
      </w:r>
    </w:p>
    <w:p w:rsidR="00211235" w:rsidRDefault="00834A5B">
      <w:pPr>
        <w:pStyle w:val="afe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Підсумки виконання дохідної частини загального фонду бюджету Менської ТГ за 2022 рік свідчать про те, що план надходжень податків, зборів, платежів (без міжбюд</w:t>
      </w:r>
      <w:r>
        <w:rPr>
          <w:sz w:val="28"/>
          <w:szCs w:val="28"/>
        </w:rPr>
        <w:t xml:space="preserve">жетних трансфертів) виконано на 90,3 %, недовиконання становить 14959,1 тис. грн. (план – 154925,0 тис. грн., факт – 139965,9 тис. грн): </w:t>
      </w:r>
    </w:p>
    <w:p w:rsidR="00211235" w:rsidRDefault="00834A5B">
      <w:pPr>
        <w:pStyle w:val="afe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податкові надходження </w:t>
      </w:r>
      <w:r>
        <w:rPr>
          <w:sz w:val="28"/>
          <w:szCs w:val="28"/>
        </w:rPr>
        <w:t xml:space="preserve">виконані на 89,7 %, недовиконання становить 15602,9 тис. грн.; </w:t>
      </w:r>
    </w:p>
    <w:p w:rsidR="00211235" w:rsidRDefault="00834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неподаткові надходження</w:t>
      </w:r>
      <w:r>
        <w:rPr>
          <w:sz w:val="28"/>
          <w:szCs w:val="28"/>
        </w:rPr>
        <w:t xml:space="preserve"> вико</w:t>
      </w:r>
      <w:r>
        <w:rPr>
          <w:sz w:val="28"/>
          <w:szCs w:val="28"/>
        </w:rPr>
        <w:t>нані на 119,4 %, перевиконання становить  643,8 тис. грн.</w:t>
      </w:r>
    </w:p>
    <w:p w:rsidR="00211235" w:rsidRDefault="00834A5B">
      <w:pPr>
        <w:pStyle w:val="afe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дотацій та субвенцій складають – 83396,2 тис. грн., в тому числі:</w:t>
      </w:r>
    </w:p>
    <w:p w:rsidR="00211235" w:rsidRDefault="00834A5B">
      <w:pPr>
        <w:pStyle w:val="afe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базова дотація (41020100) – 7745,4 тис. грн.;</w:t>
      </w:r>
    </w:p>
    <w:p w:rsidR="00211235" w:rsidRDefault="00834A5B">
      <w:pPr>
        <w:pStyle w:val="afe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освітня субвенція (41033900) – 70812,4 тис. грн.;</w:t>
      </w:r>
    </w:p>
    <w:p w:rsidR="00211235" w:rsidRDefault="00834A5B">
      <w:pPr>
        <w:pStyle w:val="afe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дотація (41040500) – 185</w:t>
      </w:r>
      <w:r>
        <w:rPr>
          <w:sz w:val="28"/>
          <w:szCs w:val="28"/>
        </w:rPr>
        <w:t>0,0 тис. грн.;</w:t>
      </w:r>
    </w:p>
    <w:p w:rsidR="00211235" w:rsidRDefault="00834A5B">
      <w:pPr>
        <w:pStyle w:val="afe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на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 за рахунок освітньої субвенції (41051000) – 1216,2тис. грн.;</w:t>
      </w:r>
    </w:p>
    <w:p w:rsidR="00211235" w:rsidRDefault="00834A5B">
      <w:pPr>
        <w:pStyle w:val="afe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на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 (41051200) – 333,1 тис. грн.;</w:t>
      </w:r>
    </w:p>
    <w:p w:rsidR="00211235" w:rsidRDefault="00834A5B">
      <w:pPr>
        <w:pStyle w:val="afe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субвенції з місцевого бюджету (41053900) – 1439,2 тис. грн, з них</w:t>
      </w:r>
      <w:r>
        <w:rPr>
          <w:sz w:val="28"/>
          <w:szCs w:val="28"/>
        </w:rPr>
        <w:t>:</w:t>
      </w:r>
    </w:p>
    <w:p w:rsidR="00211235" w:rsidRDefault="00834A5B">
      <w:pPr>
        <w:pStyle w:val="afe"/>
        <w:numPr>
          <w:ilvl w:val="0"/>
          <w:numId w:val="3"/>
        </w:numPr>
        <w:tabs>
          <w:tab w:val="left" w:pos="284"/>
        </w:tabs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утримання об’єкта спільного користування Менського центру ПМСД (з бюджету </w:t>
      </w:r>
      <w:proofErr w:type="spellStart"/>
      <w:r>
        <w:rPr>
          <w:sz w:val="28"/>
          <w:szCs w:val="28"/>
        </w:rPr>
        <w:t>Березнянської</w:t>
      </w:r>
      <w:proofErr w:type="spellEnd"/>
      <w:r>
        <w:rPr>
          <w:sz w:val="28"/>
          <w:szCs w:val="28"/>
        </w:rPr>
        <w:t xml:space="preserve"> ТГ) – 150,0 тис. грн.;</w:t>
      </w:r>
    </w:p>
    <w:p w:rsidR="00211235" w:rsidRDefault="00834A5B">
      <w:pPr>
        <w:pStyle w:val="afe"/>
        <w:numPr>
          <w:ilvl w:val="0"/>
          <w:numId w:val="3"/>
        </w:numPr>
        <w:tabs>
          <w:tab w:val="left" w:pos="284"/>
        </w:tabs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утримання об’єкта спільного користування </w:t>
      </w:r>
      <w:proofErr w:type="spellStart"/>
      <w:r>
        <w:rPr>
          <w:sz w:val="28"/>
          <w:szCs w:val="28"/>
        </w:rPr>
        <w:t>Степанівського</w:t>
      </w:r>
      <w:proofErr w:type="spellEnd"/>
      <w:r>
        <w:rPr>
          <w:sz w:val="28"/>
          <w:szCs w:val="28"/>
        </w:rPr>
        <w:t xml:space="preserve"> міжшкільного виробничого комбінату (з бюджету </w:t>
      </w:r>
      <w:proofErr w:type="spellStart"/>
      <w:r>
        <w:rPr>
          <w:sz w:val="28"/>
          <w:szCs w:val="28"/>
        </w:rPr>
        <w:t>Березнянської</w:t>
      </w:r>
      <w:proofErr w:type="spellEnd"/>
      <w:r>
        <w:rPr>
          <w:sz w:val="28"/>
          <w:szCs w:val="28"/>
        </w:rPr>
        <w:t xml:space="preserve"> ТГ) – 990,0 тис. грн.</w:t>
      </w:r>
      <w:r>
        <w:rPr>
          <w:sz w:val="28"/>
          <w:szCs w:val="28"/>
        </w:rPr>
        <w:t>;</w:t>
      </w:r>
    </w:p>
    <w:p w:rsidR="00211235" w:rsidRDefault="00834A5B">
      <w:pPr>
        <w:pStyle w:val="afe"/>
        <w:numPr>
          <w:ilvl w:val="0"/>
          <w:numId w:val="3"/>
        </w:numPr>
        <w:tabs>
          <w:tab w:val="left" w:pos="284"/>
        </w:tabs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на пільгове медичне обслуговування осіб, які постраждали внаслідок Чорнобильської катастрофи (з обласного бюджету) – 11,9 тис. грн.</w:t>
      </w:r>
    </w:p>
    <w:p w:rsidR="00211235" w:rsidRDefault="00834A5B">
      <w:pPr>
        <w:pStyle w:val="afe"/>
        <w:numPr>
          <w:ilvl w:val="0"/>
          <w:numId w:val="3"/>
        </w:numPr>
        <w:tabs>
          <w:tab w:val="left" w:pos="284"/>
        </w:tabs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доручень виборців обласними депутатами (з обласного бюджету) – 287,3 тис. грн.</w:t>
      </w:r>
    </w:p>
    <w:p w:rsidR="00211235" w:rsidRDefault="00211235">
      <w:pPr>
        <w:pStyle w:val="afe"/>
        <w:tabs>
          <w:tab w:val="left" w:pos="284"/>
        </w:tabs>
        <w:spacing w:after="0"/>
        <w:ind w:left="567" w:right="-57"/>
        <w:jc w:val="both"/>
        <w:rPr>
          <w:sz w:val="28"/>
          <w:szCs w:val="28"/>
        </w:rPr>
      </w:pPr>
    </w:p>
    <w:p w:rsidR="00211235" w:rsidRDefault="00834A5B">
      <w:pPr>
        <w:pStyle w:val="afe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Видаткова частина зага</w:t>
      </w:r>
      <w:r>
        <w:rPr>
          <w:sz w:val="28"/>
          <w:szCs w:val="28"/>
        </w:rPr>
        <w:t xml:space="preserve">льного фонду бюджету виконана в сумі 222937,2 тис. грн., що складає 90,7 % до планового періоду, а саме на: 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оплату праці працівників бюджетних установ та нарахування на неї – 176807,4 тис. грн. (79,3% загальної суми видатків);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спожиті енергоносії - 13</w:t>
      </w:r>
      <w:r>
        <w:rPr>
          <w:sz w:val="28"/>
          <w:szCs w:val="28"/>
        </w:rPr>
        <w:t>140,1 тис. грн. (5,9% загальної суми видатків);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продуктів харчування – 2754,6 тис. грн. (1,2% загальної суми видатків);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медикаменти – 55,4 тис. грн. (0,02% загальної суми видатків);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інші виплати населенню – 1445,2 тис. грн. (0,6% загальної </w:t>
      </w:r>
      <w:r>
        <w:rPr>
          <w:sz w:val="28"/>
          <w:szCs w:val="28"/>
        </w:rPr>
        <w:t>суми видатків);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інші субвенції з місцевого бюджету – 3346,9 тис. грн.:</w:t>
      </w:r>
    </w:p>
    <w:p w:rsidR="00211235" w:rsidRDefault="00834A5B">
      <w:pPr>
        <w:numPr>
          <w:ilvl w:val="0"/>
          <w:numId w:val="6"/>
        </w:numPr>
        <w:ind w:left="567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утримання бригад </w:t>
      </w:r>
      <w:proofErr w:type="spellStart"/>
      <w:r>
        <w:rPr>
          <w:sz w:val="28"/>
          <w:szCs w:val="28"/>
        </w:rPr>
        <w:t>Бірківського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Макошинського</w:t>
      </w:r>
      <w:proofErr w:type="spellEnd"/>
      <w:r>
        <w:rPr>
          <w:sz w:val="28"/>
          <w:szCs w:val="28"/>
        </w:rPr>
        <w:t xml:space="preserve"> пунктів Менської підстанції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станції Е(Ш)МД – 2599,8 тис. грн.;</w:t>
      </w:r>
    </w:p>
    <w:p w:rsidR="00211235" w:rsidRDefault="00834A5B">
      <w:pPr>
        <w:numPr>
          <w:ilvl w:val="0"/>
          <w:numId w:val="6"/>
        </w:numPr>
        <w:ind w:left="567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відшкодування комунальних послуг по орендованому примі</w:t>
      </w:r>
      <w:r>
        <w:rPr>
          <w:sz w:val="28"/>
          <w:szCs w:val="28"/>
        </w:rPr>
        <w:t>щенню КЗ "Чернігівське обласне бюро судово-медичної експертизи", яке знаходиться на балансі КНП "Менська ЦРЛ" – 13,7 тис. грн.;</w:t>
      </w:r>
    </w:p>
    <w:p w:rsidR="00211235" w:rsidRDefault="00834A5B">
      <w:pPr>
        <w:numPr>
          <w:ilvl w:val="0"/>
          <w:numId w:val="6"/>
        </w:numPr>
        <w:ind w:left="567" w:right="-57" w:firstLine="0"/>
        <w:jc w:val="both"/>
      </w:pPr>
      <w:r>
        <w:rPr>
          <w:sz w:val="28"/>
          <w:szCs w:val="28"/>
        </w:rPr>
        <w:t xml:space="preserve">субвенція районному бюджету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– 290,0 тис. грн.;</w:t>
      </w:r>
    </w:p>
    <w:p w:rsidR="00211235" w:rsidRDefault="00834A5B">
      <w:pPr>
        <w:numPr>
          <w:ilvl w:val="0"/>
          <w:numId w:val="6"/>
        </w:numPr>
        <w:ind w:left="567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співфінансування обласному бюджету з метою придбання шкільни</w:t>
      </w:r>
      <w:r>
        <w:rPr>
          <w:sz w:val="28"/>
          <w:szCs w:val="28"/>
        </w:rPr>
        <w:t>х автобусів – 244,0 тис. грн.;</w:t>
      </w:r>
    </w:p>
    <w:p w:rsidR="00211235" w:rsidRDefault="00834A5B">
      <w:pPr>
        <w:numPr>
          <w:ilvl w:val="0"/>
          <w:numId w:val="6"/>
        </w:numPr>
        <w:ind w:left="567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</w:t>
      </w:r>
      <w:r>
        <w:rPr>
          <w:sz w:val="28"/>
          <w:szCs w:val="28"/>
        </w:rPr>
        <w:t xml:space="preserve">з місцевого бюджету державному бюджету </w:t>
      </w:r>
      <w:r>
        <w:rPr>
          <w:sz w:val="28"/>
          <w:szCs w:val="28"/>
        </w:rPr>
        <w:t>– 199,4 тис. грн.</w:t>
      </w:r>
    </w:p>
    <w:p w:rsidR="00211235" w:rsidRDefault="00834A5B">
      <w:pPr>
        <w:pStyle w:val="afe"/>
        <w:spacing w:after="0"/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поточні трансферти підприємствам – 11876,4 тис. грн. (5,3% загальної суми видатків);</w:t>
      </w:r>
    </w:p>
    <w:p w:rsidR="00211235" w:rsidRDefault="00834A5B">
      <w:pPr>
        <w:pStyle w:val="afe"/>
        <w:spacing w:after="0"/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інші видатки – 13511,2 тис. грн. (що складає 6,1 % від загальної суми</w:t>
      </w:r>
      <w:r>
        <w:rPr>
          <w:sz w:val="28"/>
          <w:szCs w:val="28"/>
        </w:rPr>
        <w:t xml:space="preserve"> видатків).</w:t>
      </w:r>
    </w:p>
    <w:p w:rsidR="00211235" w:rsidRDefault="00834A5B">
      <w:pPr>
        <w:pStyle w:val="afe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утримання бюджетних установ направлено 198593,6 тис. грн., з них на утримання: 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органів місцевого самоврядування – 22185,5 тис. грн., 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дошкільних навчальних закладів – 24886,7 тис. грн., 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загальноосвітніх закладів – 100808,5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позашкільної освіти – 4118,0 тис. грн., 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мистецької школи – 5049,3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інших закладів освіти (МНВК, Центр з обслуговування освітніх установ)– 8069,2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центру професійного розвитку педпрацівників – 841,8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ІРЦ – 1297,5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територіального центру соціального обслуговування – 10650,1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центр соціальних служб для сім’ї, дітей та молоді – 2057,4 тис. грн.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публічної бібліотеки – 4097,0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краєзнавчого музею – 537,0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будинки культури - 8198,1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заклади культури (бухгалтерія) – 752,4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навчально-тренувальної роботи (ДЮСШ) – 1880,0 тис. грн.,</w:t>
      </w:r>
    </w:p>
    <w:p w:rsidR="00211235" w:rsidRDefault="00834A5B">
      <w:pPr>
        <w:pStyle w:val="afe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місцевої пожежної охорони – 3165,1 тис. грн.</w:t>
      </w:r>
    </w:p>
    <w:p w:rsidR="00211235" w:rsidRDefault="00211235">
      <w:pPr>
        <w:pStyle w:val="afe"/>
        <w:tabs>
          <w:tab w:val="left" w:pos="567"/>
        </w:tabs>
        <w:spacing w:after="0"/>
        <w:ind w:right="-57"/>
        <w:jc w:val="both"/>
        <w:rPr>
          <w:sz w:val="28"/>
          <w:szCs w:val="28"/>
        </w:rPr>
      </w:pPr>
    </w:p>
    <w:p w:rsidR="00211235" w:rsidRDefault="00834A5B">
      <w:pPr>
        <w:pStyle w:val="afe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Підсумки виконання дохідної частини спеціального фонду бюджету Менської ТГ за 2022 рік (без урахув</w:t>
      </w:r>
      <w:r>
        <w:rPr>
          <w:sz w:val="28"/>
          <w:szCs w:val="28"/>
        </w:rPr>
        <w:t xml:space="preserve">ання трансфертів) свідчать про те, що надходження виконано в сумі 16504,2 тис. грн. </w:t>
      </w:r>
    </w:p>
    <w:p w:rsidR="00211235" w:rsidRDefault="00834A5B">
      <w:pPr>
        <w:pStyle w:val="afe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Видаткова частина спеціального фонду бюджету виконана в сумі 16996,6 тис. грн.</w:t>
      </w:r>
    </w:p>
    <w:p w:rsidR="00211235" w:rsidRDefault="00834A5B">
      <w:pPr>
        <w:pStyle w:val="afe"/>
        <w:spacing w:after="0"/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захищені статті видатків спрямовано 4424,0 тис. грн., а саме на: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оплату праці та нараху</w:t>
      </w:r>
      <w:r>
        <w:rPr>
          <w:sz w:val="28"/>
          <w:szCs w:val="28"/>
        </w:rPr>
        <w:t>вання на неї – 27,5 тис. грн.,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медикаментів – 57,9 тис. грн.,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придбання продуктів харчування – 4300,6 тис. грн., </w:t>
      </w:r>
    </w:p>
    <w:p w:rsidR="00211235" w:rsidRDefault="00834A5B">
      <w:pPr>
        <w:ind w:left="567" w:right="-57"/>
        <w:jc w:val="both"/>
        <w:rPr>
          <w:sz w:val="28"/>
          <w:szCs w:val="28"/>
        </w:rPr>
      </w:pPr>
      <w:r>
        <w:rPr>
          <w:sz w:val="28"/>
          <w:szCs w:val="28"/>
        </w:rPr>
        <w:t>- спожиті енергоносії – 38,0 тис. грн.</w:t>
      </w:r>
    </w:p>
    <w:p w:rsidR="00211235" w:rsidRDefault="00834A5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звітного періоду уточнено залишок коштів, що був на рахунка</w:t>
      </w:r>
      <w:r>
        <w:rPr>
          <w:sz w:val="28"/>
          <w:szCs w:val="28"/>
        </w:rPr>
        <w:t xml:space="preserve">х загального фонду в сумі 15074,9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з яких:</w:t>
      </w:r>
    </w:p>
    <w:p w:rsidR="00211235" w:rsidRDefault="00834A5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субвенції на соціально-економічний розвиток – 3900,0 тис. грн.,</w:t>
      </w:r>
    </w:p>
    <w:p w:rsidR="00211235" w:rsidRDefault="00834A5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субвенція на ЦНАП (оргтехніка) – 122,1 тис. грн.,</w:t>
      </w:r>
    </w:p>
    <w:p w:rsidR="00211235" w:rsidRDefault="00834A5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залишок освітньої субвенції – 3971,2 тис. грн.,</w:t>
      </w:r>
    </w:p>
    <w:p w:rsidR="00211235" w:rsidRDefault="00834A5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субвенція на особливі освітні потр</w:t>
      </w:r>
      <w:r>
        <w:rPr>
          <w:sz w:val="28"/>
          <w:szCs w:val="28"/>
        </w:rPr>
        <w:t xml:space="preserve">еби – 29,9 тис. грн., </w:t>
      </w:r>
    </w:p>
    <w:p w:rsidR="00211235" w:rsidRDefault="00834A5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інтернет субвенція – 493,6 тис. грн.</w:t>
      </w:r>
    </w:p>
    <w:p w:rsidR="00211235" w:rsidRDefault="00834A5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власних надходжень – 6558,1 тис. грн.</w:t>
      </w:r>
    </w:p>
    <w:p w:rsidR="00211235" w:rsidRDefault="00834A5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Кошти резервного фонду протягом року не використовувались.</w:t>
      </w:r>
    </w:p>
    <w:p w:rsidR="00211235" w:rsidRDefault="00211235">
      <w:pPr>
        <w:ind w:right="-57" w:firstLine="567"/>
        <w:jc w:val="both"/>
        <w:rPr>
          <w:sz w:val="28"/>
          <w:szCs w:val="28"/>
        </w:rPr>
      </w:pPr>
    </w:p>
    <w:p w:rsidR="00211235" w:rsidRDefault="00834A5B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211235" w:rsidRDefault="00834A5B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Фінансового управління                                                 </w:t>
      </w:r>
      <w:r>
        <w:rPr>
          <w:sz w:val="28"/>
          <w:szCs w:val="28"/>
        </w:rPr>
        <w:tab/>
        <w:t xml:space="preserve"> </w:t>
      </w:r>
    </w:p>
    <w:p w:rsidR="00211235" w:rsidRDefault="00834A5B">
      <w:pPr>
        <w:pStyle w:val="aff0"/>
        <w:tabs>
          <w:tab w:val="left" w:pos="737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Менської м</w:t>
      </w:r>
      <w:r>
        <w:rPr>
          <w:sz w:val="28"/>
          <w:szCs w:val="28"/>
        </w:rPr>
        <w:t>іської ради</w:t>
      </w:r>
      <w:r>
        <w:rPr>
          <w:sz w:val="28"/>
          <w:szCs w:val="28"/>
        </w:rPr>
        <w:tab/>
        <w:t xml:space="preserve">Алла НЕРОСЛИК             </w:t>
      </w:r>
      <w:r>
        <w:rPr>
          <w:b/>
          <w:sz w:val="28"/>
          <w:szCs w:val="28"/>
        </w:rPr>
        <w:t xml:space="preserve">                                                </w:t>
      </w:r>
    </w:p>
    <w:sectPr w:rsidR="002112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5B" w:rsidRDefault="00834A5B">
      <w:r>
        <w:separator/>
      </w:r>
    </w:p>
  </w:endnote>
  <w:endnote w:type="continuationSeparator" w:id="0">
    <w:p w:rsidR="00834A5B" w:rsidRDefault="0083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antiqu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5B" w:rsidRDefault="00834A5B">
      <w:r>
        <w:separator/>
      </w:r>
    </w:p>
  </w:footnote>
  <w:footnote w:type="continuationSeparator" w:id="0">
    <w:p w:rsidR="00834A5B" w:rsidRDefault="0083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981"/>
    <w:multiLevelType w:val="hybridMultilevel"/>
    <w:tmpl w:val="0A4A1E9E"/>
    <w:lvl w:ilvl="0" w:tplc="E0ACCBAC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16A28582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325AF6B6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2D940886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35F0BB3E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CC08E360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997A4AD4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27E0FFB0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CA221EFC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" w15:restartNumberingAfterBreak="0">
    <w:nsid w:val="19C377D1"/>
    <w:multiLevelType w:val="hybridMultilevel"/>
    <w:tmpl w:val="AA38908A"/>
    <w:lvl w:ilvl="0" w:tplc="AA7A7B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B00E0DE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47E807D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3D3222A2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CE40C7C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6E3A1326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EEFCCEBC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A4B8B05C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541E877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441465BF"/>
    <w:multiLevelType w:val="hybridMultilevel"/>
    <w:tmpl w:val="2908A3E8"/>
    <w:lvl w:ilvl="0" w:tplc="86D2A8E6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E6A471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75B412C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19D2DBA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8F9AB11A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5AAE17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ACAE6B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2FCAEF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9F60D0A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45A17A97"/>
    <w:multiLevelType w:val="hybridMultilevel"/>
    <w:tmpl w:val="823CBE72"/>
    <w:lvl w:ilvl="0" w:tplc="A808EFF4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1CECF69A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206046B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82A09B96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3EE8D4C6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6290B990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6F30F23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BE8C7BB2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D53CF7B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 w15:restartNumberingAfterBreak="0">
    <w:nsid w:val="4BAE28C4"/>
    <w:multiLevelType w:val="hybridMultilevel"/>
    <w:tmpl w:val="3ED02812"/>
    <w:lvl w:ilvl="0" w:tplc="AED83C58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8C7E4332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2A9E5F3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7BFAB942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A61894D2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D46495F4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2752C2E4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21BEC9D4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61C89674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7BF52E84"/>
    <w:multiLevelType w:val="hybridMultilevel"/>
    <w:tmpl w:val="6BA0307C"/>
    <w:lvl w:ilvl="0" w:tplc="59C66F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18C6C376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15E2DC7A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CA40A2B4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3FF028A0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DCF8B0C0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681C92A2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BC3E19F4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1DA82D9A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235"/>
    <w:rsid w:val="00211235"/>
    <w:rsid w:val="00442B1D"/>
    <w:rsid w:val="008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EF0D"/>
  <w15:docId w15:val="{8D5E6FC8-776F-46DF-888E-2CEF668B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character" w:customStyle="1" w:styleId="afc">
    <w:name w:val="Назва Знак;Номер таблиці Знак"/>
    <w:link w:val="afd"/>
    <w:rPr>
      <w:sz w:val="28"/>
      <w:szCs w:val="28"/>
      <w:lang w:val="uk-UA"/>
    </w:rPr>
  </w:style>
  <w:style w:type="paragraph" w:customStyle="1" w:styleId="afd">
    <w:name w:val="Назва;Номер таблиці"/>
    <w:basedOn w:val="a"/>
    <w:link w:val="afc"/>
    <w:pPr>
      <w:jc w:val="center"/>
    </w:pPr>
    <w:rPr>
      <w:sz w:val="28"/>
      <w:szCs w:val="28"/>
    </w:rPr>
  </w:style>
  <w:style w:type="character" w:customStyle="1" w:styleId="13">
    <w:name w:val="Название Знак1"/>
    <w:rPr>
      <w:rFonts w:ascii="Cambria" w:eastAsia="Times New Roman" w:hAnsi="Cambria"/>
      <w:b/>
      <w:bCs/>
      <w:sz w:val="32"/>
      <w:szCs w:val="32"/>
    </w:rPr>
  </w:style>
  <w:style w:type="paragraph" w:styleId="afe">
    <w:name w:val="Body Text Indent"/>
    <w:basedOn w:val="a"/>
    <w:link w:val="aff"/>
    <w:pPr>
      <w:spacing w:after="120"/>
      <w:ind w:left="283"/>
    </w:pPr>
    <w:rPr>
      <w:sz w:val="24"/>
      <w:szCs w:val="24"/>
    </w:rPr>
  </w:style>
  <w:style w:type="character" w:customStyle="1" w:styleId="aff">
    <w:name w:val="Основний текст з відступом Знак"/>
    <w:link w:val="afe"/>
    <w:rPr>
      <w:sz w:val="24"/>
      <w:szCs w:val="24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line="168" w:lineRule="exact"/>
      <w:jc w:val="both"/>
    </w:pPr>
    <w:rPr>
      <w:sz w:val="17"/>
      <w:szCs w:val="17"/>
    </w:rPr>
  </w:style>
  <w:style w:type="paragraph" w:styleId="aff1">
    <w:name w:val="Balloon Text"/>
    <w:basedOn w:val="a"/>
    <w:link w:val="aff2"/>
    <w:rPr>
      <w:rFonts w:ascii="Tahoma" w:hAnsi="Tahoma"/>
      <w:sz w:val="16"/>
      <w:szCs w:val="16"/>
    </w:rPr>
  </w:style>
  <w:style w:type="character" w:customStyle="1" w:styleId="aff2">
    <w:name w:val="Текст у виносці Знак"/>
    <w:link w:val="aff1"/>
    <w:rPr>
      <w:rFonts w:ascii="Tahoma" w:hAnsi="Tahoma"/>
      <w:sz w:val="16"/>
      <w:szCs w:val="16"/>
    </w:rPr>
  </w:style>
  <w:style w:type="character" w:customStyle="1" w:styleId="ae">
    <w:name w:val="Верхній колонтитул Знак"/>
    <w:basedOn w:val="a0"/>
    <w:link w:val="ad"/>
  </w:style>
  <w:style w:type="character" w:customStyle="1" w:styleId="af0">
    <w:name w:val="Нижній колонтитул Знак"/>
    <w:basedOn w:val="a0"/>
    <w:link w:val="af"/>
  </w:style>
  <w:style w:type="paragraph" w:customStyle="1" w:styleId="aff3">
    <w:name w:val="Назва документа"/>
    <w:basedOn w:val="a"/>
    <w:next w:val="a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3307</Words>
  <Characters>1886</Characters>
  <Application>Microsoft Office Word</Application>
  <DocSecurity>0</DocSecurity>
  <Lines>15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2</cp:revision>
  <dcterms:created xsi:type="dcterms:W3CDTF">2023-02-03T10:40:00Z</dcterms:created>
  <dcterms:modified xsi:type="dcterms:W3CDTF">2023-02-03T10:42:00Z</dcterms:modified>
</cp:coreProperties>
</file>