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91" w:rsidRDefault="00084245">
      <w:pPr>
        <w:widowControl w:val="0"/>
        <w:ind w:left="5669"/>
        <w:rPr>
          <w:sz w:val="28"/>
        </w:rPr>
      </w:pPr>
      <w:r>
        <w:rPr>
          <w:sz w:val="28"/>
        </w:rPr>
        <w:t>Додаток</w:t>
      </w:r>
    </w:p>
    <w:p w:rsidR="00010B91" w:rsidRDefault="00084245">
      <w:pPr>
        <w:widowControl w:val="0"/>
        <w:ind w:left="5669"/>
        <w:rPr>
          <w:sz w:val="28"/>
        </w:rPr>
      </w:pPr>
      <w:r>
        <w:rPr>
          <w:sz w:val="28"/>
        </w:rPr>
        <w:t>до рішення виконавчого комітету Менської міської ради</w:t>
      </w:r>
    </w:p>
    <w:p w:rsidR="00010B91" w:rsidRDefault="00F12E73">
      <w:pPr>
        <w:widowControl w:val="0"/>
        <w:ind w:left="5669"/>
        <w:rPr>
          <w:sz w:val="28"/>
        </w:rPr>
      </w:pPr>
      <w:r>
        <w:rPr>
          <w:sz w:val="28"/>
        </w:rPr>
        <w:t>30</w:t>
      </w:r>
      <w:r w:rsidR="00084245">
        <w:rPr>
          <w:sz w:val="28"/>
        </w:rPr>
        <w:t xml:space="preserve"> січня 2023 року №</w:t>
      </w:r>
      <w:r w:rsidR="00084716">
        <w:rPr>
          <w:sz w:val="28"/>
        </w:rPr>
        <w:t xml:space="preserve"> 7</w:t>
      </w:r>
    </w:p>
    <w:p w:rsidR="00010B91" w:rsidRDefault="00010B91">
      <w:pPr>
        <w:widowControl w:val="0"/>
      </w:pPr>
    </w:p>
    <w:p w:rsidR="00010B91" w:rsidRDefault="0008424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</w:t>
      </w:r>
    </w:p>
    <w:p w:rsidR="00010B91" w:rsidRDefault="0008424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генерального директора</w:t>
      </w:r>
    </w:p>
    <w:p w:rsidR="00010B91" w:rsidRDefault="0008424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комунального некомерційного підприємства</w:t>
      </w:r>
    </w:p>
    <w:p w:rsidR="00010B91" w:rsidRDefault="0008424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«Менський центр первинної медико-санітарної</w:t>
      </w:r>
    </w:p>
    <w:p w:rsidR="00010B91" w:rsidRDefault="0008424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допомоги» Менської міської ради про роботу  за 2022 рік</w:t>
      </w:r>
    </w:p>
    <w:p w:rsidR="00010B91" w:rsidRDefault="00084245">
      <w:pPr>
        <w:widowControl w:val="0"/>
      </w:pPr>
      <w:r>
        <w:t xml:space="preserve">            </w:t>
      </w:r>
    </w:p>
    <w:p w:rsidR="00010B91" w:rsidRDefault="0008424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t xml:space="preserve">             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Комунальне некомерційне підприємство обслуговує населення  Менської міської територіальної громади та </w:t>
      </w:r>
      <w:proofErr w:type="spellStart"/>
      <w:r>
        <w:rPr>
          <w:rFonts w:eastAsia="Calibri"/>
          <w:sz w:val="28"/>
          <w:szCs w:val="28"/>
          <w:lang w:eastAsia="en-US"/>
        </w:rPr>
        <w:t>Березнянської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територіальної громади. Станом на 01.01.2022 року кількість задекларованого населення – 28 699 осіб, станом на 31.12.2022 року – 28 562 осіб.</w:t>
      </w:r>
    </w:p>
    <w:p w:rsidR="00010B91" w:rsidRDefault="00084245">
      <w:pPr>
        <w:widowControl w:val="0"/>
        <w:ind w:firstLine="10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Загальна кількість структурних підрозділів – 23: 6 амбулаторій, 7 ФАП, 10 ФП. На території Менської ТГ розміщено 5 амбулаторій, 5 фельдшерсько-акушерських пунктів, 9 фельдшерських пунктів.</w:t>
      </w:r>
      <w:r>
        <w:rPr>
          <w:rFonts w:eastAsia="Calibri"/>
          <w:sz w:val="28"/>
          <w:szCs w:val="28"/>
          <w:lang w:eastAsia="en-US"/>
        </w:rPr>
        <w:tab/>
      </w:r>
    </w:p>
    <w:p w:rsidR="00010B91" w:rsidRDefault="00010B9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010B91" w:rsidRDefault="00084245">
      <w:pPr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Кадрове забезпечення</w:t>
      </w:r>
    </w:p>
    <w:p w:rsidR="00010B91" w:rsidRDefault="000842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Штати підприємства становлять 112,5 штатних посад. В закладі працює 122 особи, із них:</w:t>
      </w:r>
    </w:p>
    <w:p w:rsidR="00010B91" w:rsidRDefault="000842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лікарів – 20 ос. (2 – керівний склад, 14 –  сімейні лікарі, лікар-статистик – 1, лікар-педіатр – 3);</w:t>
      </w:r>
    </w:p>
    <w:p w:rsidR="00010B91" w:rsidRDefault="000842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лікарів сумісників – 1 – лікар-терапевт, 1 – завідувач відділу інфекційного контролю, лікар;</w:t>
      </w:r>
    </w:p>
    <w:p w:rsidR="00010B91" w:rsidRDefault="000842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молодших спеціалістів з медичною освітою – 56 ос.,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фельдшерів – 16, сестер медичних – 36, акушерок – 3.</w:t>
      </w:r>
    </w:p>
    <w:p w:rsidR="00010B91" w:rsidRDefault="000842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Укомплектованість лікарських посад становить 87,0%, укомплектованість посад сімейних лікарів – 88,0%. Забезпеченість сімейними лікарями в сільській місцевості становить 80,0%. Серед лікарів особи пенсійного віку становлять  45,0 %.</w:t>
      </w:r>
    </w:p>
    <w:p w:rsidR="00010B91" w:rsidRDefault="00084245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Вакантною залишається посада лікаря загальної практики-сімейного лікаря  </w:t>
      </w:r>
      <w:proofErr w:type="spellStart"/>
      <w:r>
        <w:rPr>
          <w:sz w:val="28"/>
          <w:szCs w:val="28"/>
        </w:rPr>
        <w:t>Стольненської</w:t>
      </w:r>
      <w:proofErr w:type="spellEnd"/>
      <w:r>
        <w:rPr>
          <w:sz w:val="28"/>
          <w:szCs w:val="28"/>
        </w:rPr>
        <w:t xml:space="preserve">  сільської  лікарської амбулаторії загальної практики-сімейної медицини.</w:t>
      </w:r>
    </w:p>
    <w:p w:rsidR="00010B91" w:rsidRDefault="0008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Тимчасово вакантна посада лікаря загальної практики-сімейного лікаря  </w:t>
      </w:r>
      <w:proofErr w:type="spellStart"/>
      <w:r>
        <w:rPr>
          <w:sz w:val="28"/>
          <w:szCs w:val="28"/>
        </w:rPr>
        <w:t>Киселівської</w:t>
      </w:r>
      <w:proofErr w:type="spellEnd"/>
      <w:r>
        <w:rPr>
          <w:sz w:val="28"/>
          <w:szCs w:val="28"/>
        </w:rPr>
        <w:t xml:space="preserve">  сільської  лікарської амбулаторії загальної практики-сімейної медицини (лікар мобілізований).</w:t>
      </w:r>
    </w:p>
    <w:p w:rsidR="00010B91" w:rsidRDefault="000842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Укомплектованість молодшими спеціалістами з медичною освітою –  111,0%. Вакантними є посади молодших спеціалістів з медичною освітою/ фельдшерів у 2 структурних підрозділах: ФП с.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, ФАП </w:t>
      </w:r>
      <w:proofErr w:type="spellStart"/>
      <w:r>
        <w:rPr>
          <w:sz w:val="28"/>
          <w:szCs w:val="28"/>
        </w:rPr>
        <w:t>с.Блистова</w:t>
      </w:r>
      <w:proofErr w:type="spellEnd"/>
      <w:r>
        <w:rPr>
          <w:sz w:val="28"/>
          <w:szCs w:val="28"/>
        </w:rPr>
        <w:t xml:space="preserve"> (тимчасова вакансія – фельдшер мобілізований). </w:t>
      </w:r>
    </w:p>
    <w:p w:rsidR="00010B91" w:rsidRDefault="000842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2022 року припинено діяльність 7 ФП (</w:t>
      </w:r>
      <w:proofErr w:type="spellStart"/>
      <w:r>
        <w:rPr>
          <w:sz w:val="28"/>
          <w:szCs w:val="28"/>
        </w:rPr>
        <w:t>с.Слобідка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с.Степанівка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с.Максаки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с.Остапівка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с.Ушня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с.Гусавка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с.Бігач</w:t>
      </w:r>
      <w:proofErr w:type="spellEnd"/>
      <w:r>
        <w:rPr>
          <w:sz w:val="28"/>
          <w:szCs w:val="28"/>
        </w:rPr>
        <w:t xml:space="preserve">). З 01.10.2022 року </w:t>
      </w:r>
      <w:proofErr w:type="spellStart"/>
      <w:r>
        <w:rPr>
          <w:sz w:val="28"/>
          <w:szCs w:val="28"/>
        </w:rPr>
        <w:t>Синявську</w:t>
      </w:r>
      <w:proofErr w:type="spellEnd"/>
      <w:r>
        <w:rPr>
          <w:sz w:val="28"/>
          <w:szCs w:val="28"/>
        </w:rPr>
        <w:t xml:space="preserve"> сільську  лікарську амбулаторію загальної практики-сімейної медицини </w:t>
      </w:r>
      <w:r>
        <w:rPr>
          <w:sz w:val="28"/>
          <w:szCs w:val="28"/>
        </w:rPr>
        <w:lastRenderedPageBreak/>
        <w:t xml:space="preserve">перетворено фельдшерський пункт </w:t>
      </w:r>
      <w:proofErr w:type="spellStart"/>
      <w:r>
        <w:rPr>
          <w:sz w:val="28"/>
          <w:szCs w:val="28"/>
        </w:rPr>
        <w:t>с.Синявка</w:t>
      </w:r>
      <w:proofErr w:type="spellEnd"/>
      <w:r>
        <w:rPr>
          <w:sz w:val="28"/>
          <w:szCs w:val="28"/>
        </w:rPr>
        <w:t xml:space="preserve">. </w:t>
      </w:r>
    </w:p>
    <w:p w:rsidR="00010B91" w:rsidRDefault="000842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жовтня 2022 року введена в експлуатацію та оснащена сучасним медичним обладнанням будівля </w:t>
      </w:r>
      <w:proofErr w:type="spellStart"/>
      <w:r>
        <w:rPr>
          <w:sz w:val="28"/>
          <w:szCs w:val="28"/>
        </w:rPr>
        <w:t>Стольненської</w:t>
      </w:r>
      <w:proofErr w:type="spellEnd"/>
      <w:r>
        <w:rPr>
          <w:sz w:val="28"/>
          <w:szCs w:val="28"/>
        </w:rPr>
        <w:t xml:space="preserve"> сільської лікарської амбулаторії загальної практики-сімейної медицини, збудована за програмою Президента України «Велике будівництво». Щотижнево до амбулаторії здійснюється виїзд сімейного лікаря Менської ЛА, щомісяця – лікаря-педіатра.</w:t>
      </w:r>
    </w:p>
    <w:p w:rsidR="00010B91" w:rsidRDefault="000842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порівнянні з 2021 роком у 2022 році штатна чисельність працівників зменшилась на 23,25 посади за рахунок скорочення та зміни істотних умов праці. Було скорочено 16 працівників, зміни істотних умов праці зазнали 37 працівників.</w:t>
      </w:r>
    </w:p>
    <w:p w:rsidR="00010B91" w:rsidRDefault="00010B91">
      <w:pPr>
        <w:widowControl w:val="0"/>
        <w:ind w:firstLine="360"/>
        <w:jc w:val="both"/>
        <w:rPr>
          <w:sz w:val="28"/>
          <w:szCs w:val="28"/>
        </w:rPr>
      </w:pPr>
    </w:p>
    <w:p w:rsidR="00010B91" w:rsidRDefault="00084245">
      <w:pPr>
        <w:widowControl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 надання медичної допомоги</w:t>
      </w:r>
    </w:p>
    <w:p w:rsidR="00010B91" w:rsidRDefault="0008424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Робота щодо надання медичної допомоги населенню протягом року проводилась в умовах воєнного стану, тимчасової окупації території громад, міграції населення, продовження карантину по </w:t>
      </w:r>
      <w:r>
        <w:rPr>
          <w:rFonts w:eastAsia="Calibri"/>
          <w:sz w:val="28"/>
          <w:szCs w:val="28"/>
          <w:lang w:val="en-US" w:eastAsia="en-US"/>
        </w:rPr>
        <w:t>COVID</w:t>
      </w:r>
      <w:r>
        <w:rPr>
          <w:rFonts w:eastAsia="Calibri"/>
          <w:sz w:val="28"/>
          <w:szCs w:val="28"/>
          <w:lang w:eastAsia="en-US"/>
        </w:rPr>
        <w:t xml:space="preserve">-19, </w:t>
      </w:r>
      <w:proofErr w:type="spellStart"/>
      <w:r>
        <w:rPr>
          <w:rFonts w:eastAsia="Calibri"/>
          <w:sz w:val="28"/>
          <w:szCs w:val="28"/>
          <w:lang w:eastAsia="en-US"/>
        </w:rPr>
        <w:t>вакцинальної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кампанії проти </w:t>
      </w:r>
      <w:proofErr w:type="spellStart"/>
      <w:r>
        <w:rPr>
          <w:rFonts w:eastAsia="Calibri"/>
          <w:sz w:val="28"/>
          <w:szCs w:val="28"/>
          <w:lang w:eastAsia="en-US"/>
        </w:rPr>
        <w:t>коронавірусної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інфекції. </w:t>
      </w:r>
    </w:p>
    <w:p w:rsidR="00010B91" w:rsidRDefault="0008424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Протягом 2022 року загальна кількість відвідувань лікарів включно з профілактичними – 75604, що менше за показник попереднього року (100520), в </w:t>
      </w:r>
      <w:proofErr w:type="spellStart"/>
      <w:r>
        <w:rPr>
          <w:rFonts w:eastAsia="Calibri"/>
          <w:sz w:val="28"/>
          <w:szCs w:val="28"/>
          <w:lang w:eastAsia="en-US"/>
        </w:rPr>
        <w:t>т.ч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дітьми віком 0 – 17 років – 23679 звернення, відвідувань вдома – 1 508, в </w:t>
      </w:r>
      <w:proofErr w:type="spellStart"/>
      <w:r>
        <w:rPr>
          <w:rFonts w:eastAsia="Calibri"/>
          <w:sz w:val="28"/>
          <w:szCs w:val="28"/>
          <w:lang w:eastAsia="en-US"/>
        </w:rPr>
        <w:t>т.ч</w:t>
      </w:r>
      <w:proofErr w:type="spellEnd"/>
      <w:r>
        <w:rPr>
          <w:rFonts w:eastAsia="Calibri"/>
          <w:sz w:val="28"/>
          <w:szCs w:val="28"/>
          <w:lang w:eastAsia="en-US"/>
        </w:rPr>
        <w:t>. до дітей – 246.</w:t>
      </w:r>
    </w:p>
    <w:p w:rsidR="00010B91" w:rsidRDefault="0008424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Кількість відвідувань до сімейних лікарів – 60845, із них з профілактичною метою – 19042, що становить 31,3%, з приводу захворювань – 41803    (дорослі – 36789, діти – 5 014 ). Закінчили лікування у сімейного лікаря 16161 особа. Направлено до вузьких спеціалістів 12555 особи. Госпіталізовано до лікарень вторинного і третинного рівня 938 осіб.</w:t>
      </w:r>
    </w:p>
    <w:p w:rsidR="00010B91" w:rsidRDefault="0008424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2022 році запроваджено електронні рецепти на антибіотики та наркотичні препарати.</w:t>
      </w:r>
    </w:p>
    <w:p w:rsidR="00010B91" w:rsidRDefault="00084245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010B91" w:rsidRDefault="0008424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Стан фінансового забезпечення</w:t>
      </w:r>
    </w:p>
    <w:p w:rsidR="00010B91" w:rsidRDefault="00084245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У 2022 році підприємство мало 3 підписаних з НСЗУ пакети: первинна медична допомога, вакцинація проти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COVID-19 (до травня 2022 року), ведення пацієнтів із захворюванням на туберкульоз в амбулаторних умовах на первинному рівні надання медичної допомоги. </w:t>
      </w:r>
    </w:p>
    <w:p w:rsidR="00010B91" w:rsidRDefault="0008424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ab/>
        <w:t xml:space="preserve"> Доходи в грошовій формі в 2022 році 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склали  </w:t>
      </w:r>
      <w:r>
        <w:rPr>
          <w:rFonts w:eastAsia="Calibri"/>
          <w:b/>
          <w:bCs/>
          <w:sz w:val="28"/>
          <w:szCs w:val="28"/>
          <w:lang w:eastAsia="en-US"/>
        </w:rPr>
        <w:t>22 816,5 тис. грн.</w:t>
      </w:r>
      <w:r>
        <w:rPr>
          <w:rFonts w:eastAsia="Calibri"/>
          <w:sz w:val="28"/>
          <w:szCs w:val="28"/>
          <w:lang w:eastAsia="en-US"/>
        </w:rPr>
        <w:t>. З них:</w:t>
      </w:r>
    </w:p>
    <w:p w:rsidR="00010B91" w:rsidRDefault="0008424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- кошти НЗСУ – 220020,9 тис. грн. - 96,51%; </w:t>
      </w:r>
    </w:p>
    <w:p w:rsidR="00010B91" w:rsidRDefault="00084245">
      <w:pPr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кошти місцевого бюджету -  750,0 тис. грн. – 3,29%;</w:t>
      </w:r>
    </w:p>
    <w:p w:rsidR="00010B91" w:rsidRDefault="00084245">
      <w:pPr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платні послуги – 10,4 тис. грн. – 0,05%.</w:t>
      </w:r>
    </w:p>
    <w:p w:rsidR="00010B91" w:rsidRDefault="00084245">
      <w:pPr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інші доходи – 35,2 тис. грн. – 0,16%;</w:t>
      </w:r>
    </w:p>
    <w:p w:rsidR="00010B91" w:rsidRDefault="00084245">
      <w:pPr>
        <w:ind w:firstLine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    Благодійні надходження в натуральній формі </w:t>
      </w:r>
      <w:r>
        <w:rPr>
          <w:rFonts w:eastAsia="Calibri"/>
          <w:sz w:val="28"/>
          <w:szCs w:val="28"/>
          <w:lang w:eastAsia="en-US"/>
        </w:rPr>
        <w:t xml:space="preserve"> становлять </w:t>
      </w:r>
      <w:r>
        <w:rPr>
          <w:rFonts w:eastAsia="Calibri"/>
          <w:b/>
          <w:bCs/>
          <w:sz w:val="28"/>
          <w:szCs w:val="28"/>
          <w:lang w:eastAsia="en-US"/>
        </w:rPr>
        <w:t xml:space="preserve">453,06 тис. грн.: </w:t>
      </w:r>
    </w:p>
    <w:p w:rsidR="00010B91" w:rsidRDefault="00084245">
      <w:pPr>
        <w:ind w:firstLine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Міжнародним благодійним фондом «АІСМ Україна» було надано 2 од. портативної ультразвукової системи С10</w:t>
      </w:r>
      <w:r>
        <w:rPr>
          <w:rFonts w:eastAsia="Calibri"/>
          <w:sz w:val="28"/>
          <w:szCs w:val="28"/>
          <w:lang w:val="en-US" w:eastAsia="en-US"/>
        </w:rPr>
        <w:t>RL</w:t>
      </w:r>
      <w:r>
        <w:rPr>
          <w:rFonts w:eastAsia="Calibri"/>
          <w:sz w:val="28"/>
          <w:szCs w:val="28"/>
          <w:lang w:eastAsia="en-US"/>
        </w:rPr>
        <w:t xml:space="preserve"> на суму 256,0 тис. грн., та Обласною базою </w:t>
      </w:r>
      <w:proofErr w:type="spellStart"/>
      <w:r>
        <w:rPr>
          <w:rFonts w:eastAsia="Calibri"/>
          <w:sz w:val="28"/>
          <w:szCs w:val="28"/>
          <w:lang w:eastAsia="en-US"/>
        </w:rPr>
        <w:t>спецмедпостачання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надано калію йодид на суму 155,0 тис. грн., ТОВ «Праця Стольне» надано меблі (столи, шафи) на загальну суму – 35,6 тис. грн.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010B91" w:rsidRDefault="0008424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Касові видатки 2022 року</w:t>
      </w:r>
      <w:r>
        <w:rPr>
          <w:rFonts w:eastAsia="Calibri"/>
          <w:sz w:val="28"/>
          <w:szCs w:val="28"/>
          <w:lang w:eastAsia="en-US"/>
        </w:rPr>
        <w:t xml:space="preserve"> склали </w:t>
      </w:r>
      <w:r>
        <w:rPr>
          <w:rFonts w:eastAsia="Calibri"/>
          <w:b/>
          <w:bCs/>
          <w:sz w:val="28"/>
          <w:szCs w:val="28"/>
          <w:lang w:eastAsia="en-US"/>
        </w:rPr>
        <w:t>22 245,4 тис. грн.</w:t>
      </w:r>
      <w:r>
        <w:rPr>
          <w:rFonts w:eastAsia="Calibri"/>
          <w:sz w:val="28"/>
          <w:szCs w:val="28"/>
          <w:lang w:eastAsia="en-US"/>
        </w:rPr>
        <w:t>. З них:</w:t>
      </w:r>
    </w:p>
    <w:p w:rsidR="00010B91" w:rsidRDefault="00084245">
      <w:pPr>
        <w:numPr>
          <w:ilvl w:val="0"/>
          <w:numId w:val="14"/>
        </w:numPr>
        <w:ind w:left="77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 заробітну плату – 19 576,4 тис. грн – 88,0%;</w:t>
      </w:r>
    </w:p>
    <w:p w:rsidR="00010B91" w:rsidRDefault="00084245">
      <w:pPr>
        <w:numPr>
          <w:ilvl w:val="0"/>
          <w:numId w:val="14"/>
        </w:numPr>
        <w:ind w:left="77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енергоносії становили – 644,9 тис. грн – 2,9%;</w:t>
      </w:r>
    </w:p>
    <w:p w:rsidR="00010B91" w:rsidRDefault="00084245">
      <w:pPr>
        <w:numPr>
          <w:ilvl w:val="0"/>
          <w:numId w:val="14"/>
        </w:numPr>
        <w:ind w:left="77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придбання медикаментів, </w:t>
      </w:r>
      <w:proofErr w:type="spellStart"/>
      <w:r>
        <w:rPr>
          <w:rFonts w:eastAsia="Calibri"/>
          <w:sz w:val="28"/>
          <w:szCs w:val="28"/>
          <w:lang w:eastAsia="en-US"/>
        </w:rPr>
        <w:t>деззасобів</w:t>
      </w:r>
      <w:proofErr w:type="spellEnd"/>
      <w:r>
        <w:rPr>
          <w:rFonts w:eastAsia="Calibri"/>
          <w:sz w:val="28"/>
          <w:szCs w:val="28"/>
          <w:lang w:eastAsia="en-US"/>
        </w:rPr>
        <w:t>, витратних матеріалів – 521,1 тис. грн – 2,34%;</w:t>
      </w:r>
    </w:p>
    <w:p w:rsidR="00010B91" w:rsidRDefault="00084245">
      <w:pPr>
        <w:numPr>
          <w:ilvl w:val="0"/>
          <w:numId w:val="14"/>
        </w:numPr>
        <w:ind w:left="77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капітальні видатки на придбання обладнання – 83,0тис. грн. - 0,37%;</w:t>
      </w:r>
    </w:p>
    <w:p w:rsidR="00010B91" w:rsidRDefault="00084245">
      <w:pPr>
        <w:numPr>
          <w:ilvl w:val="0"/>
          <w:numId w:val="14"/>
        </w:numPr>
        <w:ind w:left="77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інші видатки  1420,0 тис. грн. – 6,38%.</w:t>
      </w:r>
    </w:p>
    <w:p w:rsidR="00010B91" w:rsidRDefault="0008424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       Фінансовий результат за 2022 рік </w:t>
      </w:r>
      <w:r>
        <w:rPr>
          <w:rFonts w:eastAsia="Calibri"/>
          <w:sz w:val="28"/>
          <w:szCs w:val="28"/>
          <w:lang w:eastAsia="en-US"/>
        </w:rPr>
        <w:t>«+» 943,7 тис. грн.</w:t>
      </w:r>
    </w:p>
    <w:p w:rsidR="00010B91" w:rsidRDefault="00084245">
      <w:pPr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        Кредиторська заборгованість</w:t>
      </w:r>
      <w:r>
        <w:rPr>
          <w:rFonts w:eastAsia="Calibri"/>
          <w:sz w:val="28"/>
          <w:szCs w:val="28"/>
          <w:lang w:eastAsia="en-US"/>
        </w:rPr>
        <w:t xml:space="preserve"> становить 1014,6 </w:t>
      </w:r>
      <w:proofErr w:type="spellStart"/>
      <w:r>
        <w:rPr>
          <w:rFonts w:eastAsia="Calibri"/>
          <w:sz w:val="28"/>
          <w:szCs w:val="28"/>
          <w:lang w:eastAsia="en-US"/>
        </w:rPr>
        <w:t>тис.грн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 яких заробітна плата, термін виплати якої не настав (згідно колективного договору)  - 887,95 </w:t>
      </w:r>
      <w:proofErr w:type="spellStart"/>
      <w:r>
        <w:rPr>
          <w:rFonts w:eastAsia="Calibri"/>
          <w:sz w:val="28"/>
          <w:szCs w:val="28"/>
          <w:lang w:eastAsia="en-US"/>
        </w:rPr>
        <w:t>тис.грн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06 січня 2023 року, 126,7 </w:t>
      </w:r>
      <w:proofErr w:type="spellStart"/>
      <w:r>
        <w:rPr>
          <w:rFonts w:eastAsia="Calibri"/>
          <w:sz w:val="28"/>
          <w:szCs w:val="28"/>
          <w:lang w:eastAsia="en-US"/>
        </w:rPr>
        <w:t>тис.грн</w:t>
      </w:r>
      <w:proofErr w:type="spellEnd"/>
      <w:r>
        <w:rPr>
          <w:rFonts w:eastAsia="Calibri"/>
          <w:sz w:val="28"/>
          <w:szCs w:val="28"/>
          <w:lang w:eastAsia="en-US"/>
        </w:rPr>
        <w:t>. – заборгованість за енергоносії.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 </w:t>
      </w:r>
    </w:p>
    <w:p w:rsidR="00010B91" w:rsidRDefault="0008424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Витрати із консолідованого бюджету у розрахунку на 1 жителя становлять 692,9 грн.</w:t>
      </w:r>
    </w:p>
    <w:p w:rsidR="00010B91" w:rsidRDefault="0008424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i/>
          <w:sz w:val="28"/>
          <w:szCs w:val="28"/>
          <w:lang w:eastAsia="en-US"/>
        </w:rPr>
        <w:t>Заробітна плата</w:t>
      </w:r>
      <w:r>
        <w:rPr>
          <w:rFonts w:eastAsia="Calibri"/>
          <w:sz w:val="28"/>
          <w:szCs w:val="28"/>
          <w:lang w:eastAsia="en-US"/>
        </w:rPr>
        <w:t xml:space="preserve"> працівників по категоріях в 2022 році порівнянні з попереднім 2021 роком становила:</w:t>
      </w:r>
    </w:p>
    <w:p w:rsidR="00010B91" w:rsidRDefault="00084245">
      <w:pPr>
        <w:numPr>
          <w:ilvl w:val="0"/>
          <w:numId w:val="13"/>
        </w:numPr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 керівників (генеральний директор, медичний директор) –  змінилася і становить в середньому 24,14 тис. грн; </w:t>
      </w:r>
    </w:p>
    <w:p w:rsidR="00010B91" w:rsidRDefault="00084245">
      <w:pPr>
        <w:numPr>
          <w:ilvl w:val="0"/>
          <w:numId w:val="13"/>
        </w:numPr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лікарів підвищилась на 38,9% і становить в середньому 22,66 тис. грн;</w:t>
      </w:r>
    </w:p>
    <w:p w:rsidR="00010B91" w:rsidRDefault="00084245">
      <w:pPr>
        <w:numPr>
          <w:ilvl w:val="0"/>
          <w:numId w:val="13"/>
        </w:numPr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молодших спеціалістів з медичною освітою  підвищилась на 71,5% і становить 13,67 тис. грн;</w:t>
      </w:r>
    </w:p>
    <w:p w:rsidR="00010B91" w:rsidRDefault="00084245">
      <w:pPr>
        <w:numPr>
          <w:ilvl w:val="0"/>
          <w:numId w:val="13"/>
        </w:numPr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молодших медичних сестер зросла на 12,8%  за рахунок підвищення мінімальної заробітної плати - 6,95 тис. грн.;</w:t>
      </w:r>
    </w:p>
    <w:p w:rsidR="00010B91" w:rsidRDefault="00084245">
      <w:pPr>
        <w:numPr>
          <w:ilvl w:val="0"/>
          <w:numId w:val="13"/>
        </w:numPr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інших категорій працівників підвищилась  на 28,8% і  в середньому становить 8,08 тис. грн.</w:t>
      </w:r>
    </w:p>
    <w:p w:rsidR="00010B91" w:rsidRDefault="0008424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У 2023 році заплановано отримати від НЗСУ 21 720,0 тис. грн. (3 пакети).</w:t>
      </w:r>
    </w:p>
    <w:p w:rsidR="00010B91" w:rsidRDefault="000842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 Програми підтримки розвитку первинної медичної допомоги на 2021 – 2023 роки, в рамках якої протягом 2022 року Менською ТГ та </w:t>
      </w:r>
      <w:proofErr w:type="spellStart"/>
      <w:r>
        <w:rPr>
          <w:sz w:val="28"/>
          <w:szCs w:val="28"/>
        </w:rPr>
        <w:t>Березнянською</w:t>
      </w:r>
      <w:proofErr w:type="spellEnd"/>
      <w:r>
        <w:rPr>
          <w:sz w:val="28"/>
          <w:szCs w:val="28"/>
        </w:rPr>
        <w:t xml:space="preserve"> ТГ було профінансовано </w:t>
      </w:r>
      <w:r>
        <w:rPr>
          <w:rFonts w:eastAsia="Calibri"/>
          <w:sz w:val="28"/>
          <w:szCs w:val="28"/>
          <w:lang w:eastAsia="en-US"/>
        </w:rPr>
        <w:t>749,99 тис. грн., з яких:</w:t>
      </w:r>
    </w:p>
    <w:p w:rsidR="00010B91" w:rsidRDefault="00084245">
      <w:pPr>
        <w:ind w:firstLine="360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- 195,69 тис. грн. витрачено на медикаменти для пільгових категорій населення, за рахунок чого: 16 осіб з онкологічними захворюваннями безкоштовно отримали наркотичні засоби на суму 85 344,83 грн., 3 особи з ознаками інвалідності з дитинства - на суму 12 828,43 грн., 19 осіб з хворобою Паркінсона – на суму 82 331,04 грн., 9 осіб з епілепсією – на суму 14 721,97 грн., та 1 особа з іншими захворюваннями – на суму 466,86 грн.;</w:t>
      </w:r>
    </w:p>
    <w:p w:rsidR="00010B91" w:rsidRDefault="00084245">
      <w:pPr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- 46,65 тис. грн. витрачено на забезпечення осіб з інвалідністю технічними засобами (8 осіб </w:t>
      </w:r>
      <w:proofErr w:type="spellStart"/>
      <w:r>
        <w:rPr>
          <w:rFonts w:eastAsia="Calibri"/>
          <w:sz w:val="28"/>
          <w:szCs w:val="28"/>
          <w:lang w:eastAsia="en-US"/>
        </w:rPr>
        <w:t>стомованих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хворих забезпечені </w:t>
      </w:r>
      <w:proofErr w:type="spellStart"/>
      <w:r>
        <w:rPr>
          <w:rFonts w:eastAsia="Calibri"/>
          <w:sz w:val="28"/>
          <w:szCs w:val="28"/>
          <w:lang w:eastAsia="en-US"/>
        </w:rPr>
        <w:t>калоприймачами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);  </w:t>
      </w:r>
    </w:p>
    <w:p w:rsidR="00010B91" w:rsidRDefault="00084245">
      <w:pPr>
        <w:ind w:firstLine="360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28,38 тис. грн.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витрачено </w:t>
      </w:r>
      <w:r>
        <w:rPr>
          <w:rFonts w:eastAsia="Calibri"/>
          <w:bCs/>
          <w:iCs/>
          <w:sz w:val="28"/>
          <w:szCs w:val="28"/>
          <w:lang w:eastAsia="en-US"/>
        </w:rPr>
        <w:t>на закупівлю туберкуліну;</w:t>
      </w:r>
    </w:p>
    <w:p w:rsidR="00010B91" w:rsidRDefault="00084245">
      <w:pPr>
        <w:numPr>
          <w:ilvl w:val="0"/>
          <w:numId w:val="13"/>
        </w:num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53,16 тис. грн. - на закупівлю засобів для захисту від COVID-19;</w:t>
      </w:r>
    </w:p>
    <w:p w:rsidR="00010B91" w:rsidRDefault="00084245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- 60,0 тис. грн. – витрачені на закупівлю та встановлення нового твердопаливного котла в </w:t>
      </w:r>
      <w:proofErr w:type="spellStart"/>
      <w:r>
        <w:rPr>
          <w:rFonts w:eastAsia="Calibri"/>
          <w:sz w:val="28"/>
          <w:szCs w:val="28"/>
          <w:lang w:eastAsia="en-US"/>
        </w:rPr>
        <w:t>Киселівській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СЛА ЗПСМ;</w:t>
      </w:r>
    </w:p>
    <w:p w:rsidR="00010B91" w:rsidRDefault="00084245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- 19,5 тис. грн. – витрачено на закупівлю ноутбуку для </w:t>
      </w:r>
      <w:proofErr w:type="spellStart"/>
      <w:r>
        <w:rPr>
          <w:rFonts w:eastAsia="Calibri"/>
          <w:sz w:val="28"/>
          <w:szCs w:val="28"/>
          <w:lang w:eastAsia="en-US"/>
        </w:rPr>
        <w:t>Березнянської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ЛА ЗПСМ;</w:t>
      </w:r>
    </w:p>
    <w:p w:rsidR="00010B91" w:rsidRDefault="00084245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- 296,61 тис. грн. – сплачено рахунки за енергоносії;</w:t>
      </w:r>
    </w:p>
    <w:p w:rsidR="00010B91" w:rsidRDefault="00084245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- 50,0 тис. грн. – фінансування підйомних по програмі забезпечення медичними кадрами. </w:t>
      </w:r>
    </w:p>
    <w:p w:rsidR="00010B91" w:rsidRDefault="00084245">
      <w:pPr>
        <w:ind w:firstLine="708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Зменшення видатків на закупівлю пільгових медикаментів та технічних засобів для осіб з інвалідністю, зумовлене надходженням в військовий період гуманітарної допомоги.</w:t>
      </w:r>
    </w:p>
    <w:p w:rsidR="00010B91" w:rsidRDefault="0008424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рік затверджено Комплексну програму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 та Програму забезпечення медичних кадрів Менської ТГ медичними кадрами на 2022-2024 роки в новій редакції на суму 1346 тис. грн. </w:t>
      </w:r>
    </w:p>
    <w:p w:rsidR="00010B91" w:rsidRDefault="0008424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Березнянській</w:t>
      </w:r>
      <w:proofErr w:type="spellEnd"/>
      <w:r>
        <w:rPr>
          <w:sz w:val="28"/>
          <w:szCs w:val="28"/>
        </w:rPr>
        <w:t xml:space="preserve"> ТГ затверджено Програму підтримки розвитку первинної медичної допомоги на період 2021-2023 років на суму 120,0 тис. грн.</w:t>
      </w:r>
    </w:p>
    <w:p w:rsidR="00010B91" w:rsidRDefault="00010B91">
      <w:pPr>
        <w:jc w:val="both"/>
        <w:rPr>
          <w:sz w:val="28"/>
          <w:szCs w:val="28"/>
        </w:rPr>
      </w:pPr>
    </w:p>
    <w:p w:rsidR="00010B91" w:rsidRDefault="00084245">
      <w:pPr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Матеріально-технічна база закладу</w:t>
      </w:r>
    </w:p>
    <w:p w:rsidR="00010B91" w:rsidRDefault="0008424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початку 2022 року здійснили  часткову оплату в сумі 40,0 тис. грн. за проведену в 2021 році реконструкцію санвузла для маломобільних верств населення в Менській ЛА.</w:t>
      </w:r>
    </w:p>
    <w:p w:rsidR="00010B91" w:rsidRDefault="0008424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року для облаштування кабінетів лікарів було придбано 4 шафи, 6 письмових столів на загальну суму 33,6 тис. грн., а також закуплено </w:t>
      </w:r>
      <w:r>
        <w:rPr>
          <w:sz w:val="28"/>
          <w:szCs w:val="28"/>
          <w:lang w:val="en-US"/>
        </w:rPr>
        <w:t xml:space="preserve">13 </w:t>
      </w:r>
      <w:r>
        <w:rPr>
          <w:sz w:val="28"/>
          <w:szCs w:val="28"/>
        </w:rPr>
        <w:t xml:space="preserve">диванів </w:t>
      </w:r>
      <w:r>
        <w:rPr>
          <w:sz w:val="28"/>
          <w:szCs w:val="28"/>
          <w:lang w:val="en-US"/>
        </w:rPr>
        <w:t>BNB Solo</w:t>
      </w:r>
      <w:r>
        <w:rPr>
          <w:sz w:val="28"/>
          <w:szCs w:val="28"/>
        </w:rPr>
        <w:t xml:space="preserve"> на суму 39,0 тис. грн. для пацієнтів, що очікують своєї черги</w:t>
      </w:r>
      <w:r>
        <w:t xml:space="preserve"> </w:t>
      </w:r>
      <w:r>
        <w:rPr>
          <w:sz w:val="28"/>
          <w:szCs w:val="28"/>
        </w:rPr>
        <w:t xml:space="preserve">в коридорах Менської ЛА. Встановили вузол обліку тепла для Менської ЛА на суму 54,5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Проводились поточні ремонти в кабінетах лікарів, </w:t>
      </w:r>
      <w:proofErr w:type="spellStart"/>
      <w:r>
        <w:rPr>
          <w:sz w:val="28"/>
          <w:szCs w:val="28"/>
        </w:rPr>
        <w:t>маніпуляційному</w:t>
      </w:r>
      <w:proofErr w:type="spellEnd"/>
      <w:r>
        <w:rPr>
          <w:sz w:val="28"/>
          <w:szCs w:val="28"/>
        </w:rPr>
        <w:t xml:space="preserve"> та кабінеті денного стаціонару Менської ЛА на загальну суму 36,4 тис. грн. Проводився поточний ремонт електромереж в Менській ЛА, </w:t>
      </w:r>
      <w:proofErr w:type="spellStart"/>
      <w:r>
        <w:rPr>
          <w:sz w:val="28"/>
          <w:szCs w:val="28"/>
        </w:rPr>
        <w:t>Стольненській</w:t>
      </w:r>
      <w:proofErr w:type="spellEnd"/>
      <w:r>
        <w:rPr>
          <w:sz w:val="28"/>
          <w:szCs w:val="28"/>
        </w:rPr>
        <w:t xml:space="preserve"> СЛА ЗПСМ  та ФП </w:t>
      </w:r>
      <w:proofErr w:type="spellStart"/>
      <w:r>
        <w:rPr>
          <w:sz w:val="28"/>
          <w:szCs w:val="28"/>
        </w:rPr>
        <w:t>с.Ліски</w:t>
      </w:r>
      <w:proofErr w:type="spellEnd"/>
      <w:r>
        <w:rPr>
          <w:sz w:val="28"/>
          <w:szCs w:val="28"/>
        </w:rPr>
        <w:t xml:space="preserve"> на загальну суму 77,0 тис. грн. </w:t>
      </w:r>
    </w:p>
    <w:p w:rsidR="00010B91" w:rsidRDefault="0008424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Централізовано, отримано по програмі «ДОБРЕ» від Менської міської ради в оперативне управління 11 програмно-апаратних комплексів для телемедицини IDIS2GO, 11 аналізаторів сечі ВС401 та 2 ноутбуки на загальну суму 1 212,7тис.грн. Від УОЗ у заклад надійшло 9 медичних кисневих концентраторів АЕ-8-N та 9 концентраторів кисню АЕ-8-W на суму 586,8 тис. грн. Менською ТГ було передано в оперативне управління будівлю лікувального корпусу для розміщення </w:t>
      </w:r>
      <w:proofErr w:type="spellStart"/>
      <w:r>
        <w:rPr>
          <w:sz w:val="28"/>
          <w:szCs w:val="28"/>
        </w:rPr>
        <w:t>Макошинської</w:t>
      </w:r>
      <w:proofErr w:type="spellEnd"/>
      <w:r>
        <w:rPr>
          <w:sz w:val="28"/>
          <w:szCs w:val="28"/>
        </w:rPr>
        <w:t xml:space="preserve"> ЛА, разом з господарськими будівлями та модульним теплогенератором з двома котлами на загальну суму 928,6 тис. грн. </w:t>
      </w:r>
    </w:p>
    <w:p w:rsidR="00010B91" w:rsidRDefault="00084245">
      <w:pPr>
        <w:ind w:firstLine="708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Передано в оперативне управління нову будівлю </w:t>
      </w:r>
      <w:proofErr w:type="spellStart"/>
      <w:r>
        <w:rPr>
          <w:sz w:val="28"/>
          <w:szCs w:val="28"/>
        </w:rPr>
        <w:t>Стольненської</w:t>
      </w:r>
      <w:proofErr w:type="spellEnd"/>
      <w:r>
        <w:rPr>
          <w:sz w:val="28"/>
          <w:szCs w:val="28"/>
        </w:rPr>
        <w:t xml:space="preserve"> амбулаторії вартістю 4 572,9 тис. грн. та медичне обладнання на суму 506,1 тис. грн. (3 оглядові кушетки, стіл для обробки малюків, контейнери для інструментів, шафи, </w:t>
      </w:r>
      <w:proofErr w:type="spellStart"/>
      <w:r>
        <w:rPr>
          <w:sz w:val="28"/>
          <w:szCs w:val="28"/>
        </w:rPr>
        <w:t>небулайзер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маніпуляційні</w:t>
      </w:r>
      <w:proofErr w:type="spellEnd"/>
      <w:r>
        <w:rPr>
          <w:sz w:val="28"/>
          <w:szCs w:val="28"/>
        </w:rPr>
        <w:t xml:space="preserve"> столи, крісло гінекологічне, </w:t>
      </w:r>
      <w:proofErr w:type="spellStart"/>
      <w:r>
        <w:rPr>
          <w:sz w:val="28"/>
          <w:szCs w:val="28"/>
        </w:rPr>
        <w:t>електродіагностичний</w:t>
      </w:r>
      <w:proofErr w:type="spellEnd"/>
      <w:r>
        <w:rPr>
          <w:sz w:val="28"/>
          <w:szCs w:val="28"/>
        </w:rPr>
        <w:t xml:space="preserve"> спірометричний апарат, ноші, крісло для евакуації, світильник мобільний, сфігмоманометр, діагностичний набір, ваги для новонароджених, електрокардіограф, </w:t>
      </w:r>
      <w:proofErr w:type="spellStart"/>
      <w:r>
        <w:rPr>
          <w:sz w:val="28"/>
          <w:szCs w:val="28"/>
        </w:rPr>
        <w:t>пульсоксиметр</w:t>
      </w:r>
      <w:proofErr w:type="spellEnd"/>
      <w:r>
        <w:rPr>
          <w:sz w:val="28"/>
          <w:szCs w:val="28"/>
        </w:rPr>
        <w:t xml:space="preserve">, холодильник та інше).           </w:t>
      </w:r>
    </w:p>
    <w:p w:rsidR="00010B91" w:rsidRDefault="00084245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кошти Менської ТГ придбано  та встановлено твердопаливний котел в </w:t>
      </w:r>
      <w:proofErr w:type="spellStart"/>
      <w:r>
        <w:rPr>
          <w:sz w:val="28"/>
          <w:szCs w:val="28"/>
        </w:rPr>
        <w:t>Киселівській</w:t>
      </w:r>
      <w:proofErr w:type="spellEnd"/>
      <w:r>
        <w:rPr>
          <w:sz w:val="28"/>
          <w:szCs w:val="28"/>
        </w:rPr>
        <w:t xml:space="preserve"> СЛА ЗПСМ на загальну суму 60,0 тис. грн. </w:t>
      </w:r>
    </w:p>
    <w:p w:rsidR="00010B91" w:rsidRDefault="00084245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кошти </w:t>
      </w:r>
      <w:proofErr w:type="spellStart"/>
      <w:r>
        <w:rPr>
          <w:sz w:val="28"/>
          <w:szCs w:val="28"/>
        </w:rPr>
        <w:t>Березнянської</w:t>
      </w:r>
      <w:proofErr w:type="spellEnd"/>
      <w:r>
        <w:rPr>
          <w:sz w:val="28"/>
          <w:szCs w:val="28"/>
        </w:rPr>
        <w:t xml:space="preserve"> ТГ придбано ноутбук для </w:t>
      </w:r>
      <w:proofErr w:type="spellStart"/>
      <w:r>
        <w:rPr>
          <w:sz w:val="28"/>
          <w:szCs w:val="28"/>
        </w:rPr>
        <w:t>Березнянської</w:t>
      </w:r>
      <w:proofErr w:type="spellEnd"/>
      <w:r>
        <w:rPr>
          <w:sz w:val="28"/>
          <w:szCs w:val="28"/>
        </w:rPr>
        <w:t xml:space="preserve"> ЛА ЗПСМ на суму 19,5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та </w:t>
      </w:r>
      <w:proofErr w:type="spellStart"/>
      <w:r>
        <w:rPr>
          <w:sz w:val="28"/>
          <w:szCs w:val="28"/>
        </w:rPr>
        <w:t>опромінювач</w:t>
      </w:r>
      <w:proofErr w:type="spellEnd"/>
      <w:r>
        <w:rPr>
          <w:sz w:val="28"/>
          <w:szCs w:val="28"/>
        </w:rPr>
        <w:t xml:space="preserve"> бактерицидний пересувний на суму 4,9 тис. грн.</w:t>
      </w:r>
    </w:p>
    <w:p w:rsidR="00010B91" w:rsidRDefault="00084245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Благодійні надходження в натуральній формі це: </w:t>
      </w:r>
    </w:p>
    <w:p w:rsidR="00010B91" w:rsidRDefault="00084245">
      <w:pPr>
        <w:numPr>
          <w:ilvl w:val="0"/>
          <w:numId w:val="13"/>
        </w:numPr>
        <w:ind w:left="0" w:firstLine="0"/>
        <w:contextualSpacing/>
        <w:jc w:val="both"/>
        <w:rPr>
          <w:rFonts w:eastAsia="Calibri"/>
          <w:bCs/>
          <w:i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lastRenderedPageBreak/>
        <w:t xml:space="preserve">2 </w:t>
      </w:r>
      <w:r>
        <w:rPr>
          <w:sz w:val="28"/>
          <w:szCs w:val="28"/>
        </w:rPr>
        <w:t>портативні ультразвукові системи С10</w:t>
      </w:r>
      <w:r>
        <w:rPr>
          <w:sz w:val="28"/>
          <w:szCs w:val="28"/>
          <w:lang w:val="en-US"/>
        </w:rPr>
        <w:t>RL</w:t>
      </w:r>
      <w:r>
        <w:rPr>
          <w:sz w:val="28"/>
          <w:szCs w:val="28"/>
        </w:rPr>
        <w:t xml:space="preserve"> на загальну суму 256,0 тис. грн.,</w:t>
      </w:r>
      <w:r>
        <w:t xml:space="preserve"> </w:t>
      </w:r>
      <w:r>
        <w:rPr>
          <w:sz w:val="28"/>
          <w:szCs w:val="28"/>
        </w:rPr>
        <w:t xml:space="preserve"> що надані</w:t>
      </w:r>
      <w:r>
        <w:t xml:space="preserve"> </w:t>
      </w:r>
      <w:r>
        <w:rPr>
          <w:sz w:val="28"/>
          <w:szCs w:val="28"/>
        </w:rPr>
        <w:t xml:space="preserve">Міжнародним благодійним фондом «АІСМ Україна», </w:t>
      </w:r>
    </w:p>
    <w:p w:rsidR="00010B91" w:rsidRDefault="00084245">
      <w:pPr>
        <w:numPr>
          <w:ilvl w:val="0"/>
          <w:numId w:val="13"/>
        </w:numPr>
        <w:ind w:left="0" w:firstLine="0"/>
        <w:contextualSpacing/>
        <w:jc w:val="both"/>
        <w:rPr>
          <w:rFonts w:eastAsia="Calibri"/>
          <w:bCs/>
          <w:i/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 обласною базою </w:t>
      </w:r>
      <w:proofErr w:type="spellStart"/>
      <w:r>
        <w:rPr>
          <w:sz w:val="28"/>
          <w:szCs w:val="28"/>
        </w:rPr>
        <w:t>спецмедпостачання</w:t>
      </w:r>
      <w:proofErr w:type="spellEnd"/>
      <w:r>
        <w:rPr>
          <w:sz w:val="28"/>
          <w:szCs w:val="28"/>
        </w:rPr>
        <w:t xml:space="preserve"> надано калію йодид на суму 155,0 тис. грн., </w:t>
      </w:r>
    </w:p>
    <w:p w:rsidR="00010B91" w:rsidRDefault="00084245">
      <w:pPr>
        <w:numPr>
          <w:ilvl w:val="0"/>
          <w:numId w:val="13"/>
        </w:numPr>
        <w:ind w:left="0" w:firstLine="0"/>
        <w:contextualSpacing/>
        <w:jc w:val="both"/>
        <w:rPr>
          <w:rFonts w:eastAsia="Calibri"/>
          <w:bCs/>
          <w:i/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ТОВ «Праця Стольне» надав меблі (столи, шафи) для </w:t>
      </w:r>
      <w:proofErr w:type="spellStart"/>
      <w:r>
        <w:rPr>
          <w:sz w:val="28"/>
          <w:szCs w:val="28"/>
        </w:rPr>
        <w:t>Стольненської</w:t>
      </w:r>
      <w:proofErr w:type="spellEnd"/>
      <w:r>
        <w:rPr>
          <w:sz w:val="28"/>
          <w:szCs w:val="28"/>
        </w:rPr>
        <w:t xml:space="preserve"> СЛА ЗПСМ на загальну суму – 35,6 тис. грн.</w:t>
      </w:r>
      <w:r>
        <w:rPr>
          <w:sz w:val="28"/>
          <w:szCs w:val="28"/>
          <w:lang w:val="en-US"/>
        </w:rPr>
        <w:t xml:space="preserve"> </w:t>
      </w:r>
    </w:p>
    <w:p w:rsidR="00010B91" w:rsidRDefault="000842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забезпечення лікарськими засобами населення відповідно до Постанови КМУ №1303 та технічними засобами  відповідно до Постанови КМУ №1301 виділено 710 тис. грн із місцевих бюджетів за Програмою розвитку та фінансової підтримки закладів охорони здоров’я, що надають медичну допомогу на території Менської міської територіальної громади, на 2022 – 2024 роки.</w:t>
      </w:r>
    </w:p>
    <w:p w:rsidR="00010B91" w:rsidRDefault="000842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Проблемні питання</w:t>
      </w:r>
    </w:p>
    <w:p w:rsidR="00010B91" w:rsidRDefault="000842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Кадрове забезпечення. Серед лікарів особи пенсійного віку становлять  45,0 %. Вакантна посада лікаря загальної практики-сімейного лікаря  </w:t>
      </w:r>
      <w:proofErr w:type="spellStart"/>
      <w:r>
        <w:rPr>
          <w:sz w:val="28"/>
          <w:szCs w:val="28"/>
        </w:rPr>
        <w:t>Стольненської</w:t>
      </w:r>
      <w:proofErr w:type="spellEnd"/>
      <w:r>
        <w:rPr>
          <w:sz w:val="28"/>
          <w:szCs w:val="28"/>
        </w:rPr>
        <w:t xml:space="preserve">  сільської  лікарської амбулаторії загальної практики-сімейної медицини.</w:t>
      </w:r>
    </w:p>
    <w:p w:rsidR="00010B91" w:rsidRDefault="0008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Недостатня кількість коштів для забезпечення функціонування закладу, надання якісної медичної послуги. У зв’язку із  змінами  в системі оплати праці понад 88% коштів, які отримані від НСЗУ у рамках програми медичних гарантій, спрямовуються на виплату заробітної плати. На 1-го лікаря, який працює у закладі, припадає 5,7 осіб іншого персоналу. Оптимальним вважається навантаження до 4 осіб на 1-го лікаря. </w:t>
      </w:r>
    </w:p>
    <w:p w:rsidR="00010B91" w:rsidRDefault="0008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забезпечення функціонування закладу потрібні додаткові кошти на проведення робіт по забезпеченню доступності будівель сільських лікарських амбулаторій для маломобільних верств населення. </w:t>
      </w:r>
    </w:p>
    <w:p w:rsidR="00010B91" w:rsidRDefault="0008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Будівля Менської лікарської амбулаторії потребує проведення капітального ремонту (заміна вікон на енергозберігаючі, реконструкція покрівлі, заміна каналізації).</w:t>
      </w:r>
    </w:p>
    <w:p w:rsidR="00010B91" w:rsidRDefault="0008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Макошинська</w:t>
      </w:r>
      <w:proofErr w:type="spellEnd"/>
      <w:r>
        <w:rPr>
          <w:sz w:val="28"/>
          <w:szCs w:val="28"/>
        </w:rPr>
        <w:t xml:space="preserve"> лікарська амбулаторія потребує нового приміщення. </w:t>
      </w:r>
    </w:p>
    <w:p w:rsidR="00010B91" w:rsidRDefault="0008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Необхідність придбання 4 автотранспортних засобів (повнопривідні автомобілі) для потреб амбулаторій, оскільки наявні авто використали свій ресурс.</w:t>
      </w:r>
    </w:p>
    <w:p w:rsidR="00010B91" w:rsidRDefault="00010B91">
      <w:pPr>
        <w:ind w:firstLine="708"/>
        <w:jc w:val="both"/>
        <w:rPr>
          <w:sz w:val="28"/>
          <w:szCs w:val="28"/>
        </w:rPr>
      </w:pPr>
    </w:p>
    <w:p w:rsidR="00084716" w:rsidRDefault="00084245">
      <w:pPr>
        <w:tabs>
          <w:tab w:val="left" w:pos="680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Генеральний директор</w:t>
      </w:r>
    </w:p>
    <w:p w:rsidR="00010B91" w:rsidRDefault="00084716">
      <w:pPr>
        <w:tabs>
          <w:tab w:val="left" w:pos="6803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КНП «Менський центр ПМСД»</w:t>
      </w:r>
      <w:bookmarkStart w:id="0" w:name="_GoBack"/>
      <w:bookmarkEnd w:id="0"/>
      <w:r w:rsidR="00084245">
        <w:rPr>
          <w:rFonts w:eastAsia="Calibri"/>
          <w:bCs/>
          <w:sz w:val="28"/>
          <w:szCs w:val="28"/>
          <w:lang w:eastAsia="en-US"/>
        </w:rPr>
        <w:tab/>
        <w:t>Наталія РОСОМАХА</w:t>
      </w:r>
    </w:p>
    <w:sectPr w:rsidR="00010B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95" w:rsidRDefault="000D3895">
      <w:r>
        <w:separator/>
      </w:r>
    </w:p>
  </w:endnote>
  <w:endnote w:type="continuationSeparator" w:id="0">
    <w:p w:rsidR="000D3895" w:rsidRDefault="000D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91" w:rsidRDefault="00010B9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91" w:rsidRDefault="00010B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95" w:rsidRDefault="000D3895">
      <w:r>
        <w:separator/>
      </w:r>
    </w:p>
  </w:footnote>
  <w:footnote w:type="continuationSeparator" w:id="0">
    <w:p w:rsidR="000D3895" w:rsidRDefault="000D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91" w:rsidRDefault="00084245">
    <w:pPr>
      <w:pStyle w:val="ac"/>
      <w:jc w:val="right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>PAGE \* MERGEFORMAT</w:instrText>
    </w:r>
    <w:r>
      <w:rPr>
        <w:i/>
        <w:sz w:val="24"/>
      </w:rPr>
      <w:fldChar w:fldCharType="separate"/>
    </w:r>
    <w:r>
      <w:rPr>
        <w:i/>
        <w:sz w:val="24"/>
      </w:rPr>
      <w:t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    продовження додатка</w:t>
    </w:r>
  </w:p>
  <w:p w:rsidR="00010B91" w:rsidRDefault="00010B9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91" w:rsidRDefault="00010B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ECB"/>
    <w:multiLevelType w:val="hybridMultilevel"/>
    <w:tmpl w:val="8B20C404"/>
    <w:lvl w:ilvl="0" w:tplc="8402D00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 w:tplc="78D2ABE2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/>
      </w:rPr>
    </w:lvl>
    <w:lvl w:ilvl="2" w:tplc="B36A71F6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 w:tplc="5FD8620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 w:tplc="F2CC39B2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 w:tplc="DB4C6C76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 w:tplc="74380DCA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 w:tplc="643004E6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 w:tplc="5DE4531C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1" w15:restartNumberingAfterBreak="0">
    <w:nsid w:val="11134B66"/>
    <w:multiLevelType w:val="hybridMultilevel"/>
    <w:tmpl w:val="AE9C3446"/>
    <w:lvl w:ilvl="0" w:tplc="F25E89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4886A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28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62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0D1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85C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85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485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B413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439E3"/>
    <w:multiLevelType w:val="hybridMultilevel"/>
    <w:tmpl w:val="ECC4E4B8"/>
    <w:lvl w:ilvl="0" w:tplc="ECE6CA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1164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CBF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AE6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A8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6FD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83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077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4B1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51C8"/>
    <w:multiLevelType w:val="hybridMultilevel"/>
    <w:tmpl w:val="70C81DF0"/>
    <w:lvl w:ilvl="0" w:tplc="03426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2B24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CC603E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48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048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09D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887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A4C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CA0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F7D44"/>
    <w:multiLevelType w:val="hybridMultilevel"/>
    <w:tmpl w:val="C4AA62BA"/>
    <w:lvl w:ilvl="0" w:tplc="16EA8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619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201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E2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661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A95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AF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02E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AC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14741"/>
    <w:multiLevelType w:val="hybridMultilevel"/>
    <w:tmpl w:val="98D6C364"/>
    <w:lvl w:ilvl="0" w:tplc="625AA58C">
      <w:start w:val="1"/>
      <w:numFmt w:val="decimal"/>
      <w:lvlText w:val="%1."/>
      <w:lvlJc w:val="left"/>
      <w:pPr>
        <w:ind w:left="360" w:hanging="360"/>
      </w:pPr>
    </w:lvl>
    <w:lvl w:ilvl="1" w:tplc="922AD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C7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8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C5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C1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5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B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91A8B"/>
    <w:multiLevelType w:val="hybridMultilevel"/>
    <w:tmpl w:val="F6244AB6"/>
    <w:lvl w:ilvl="0" w:tplc="BE22B1EA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  <w:lvl w:ilvl="1" w:tplc="F160B0A8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/>
      </w:rPr>
    </w:lvl>
    <w:lvl w:ilvl="2" w:tplc="A4886626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 w:tplc="4E02209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 w:tplc="A01CBD46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 w:tplc="B51CA37A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 w:tplc="F12CB162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 w:tplc="9350D176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 w:tplc="2EDAE81C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7" w15:restartNumberingAfterBreak="0">
    <w:nsid w:val="30C3779D"/>
    <w:multiLevelType w:val="multilevel"/>
    <w:tmpl w:val="53C415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 w15:restartNumberingAfterBreak="0">
    <w:nsid w:val="3E64386A"/>
    <w:multiLevelType w:val="hybridMultilevel"/>
    <w:tmpl w:val="D222DB50"/>
    <w:lvl w:ilvl="0" w:tplc="0462844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ED22CE3A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0461F48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52B2EB6A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5ABF42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DF160696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EFA7902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C59EEE24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68B8B8F2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71D66E2"/>
    <w:multiLevelType w:val="hybridMultilevel"/>
    <w:tmpl w:val="80DC07A4"/>
    <w:lvl w:ilvl="0" w:tplc="7764C8B2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CB04E22E">
      <w:start w:val="1"/>
      <w:numFmt w:val="lowerLetter"/>
      <w:lvlText w:val="%2."/>
      <w:lvlJc w:val="left"/>
      <w:pPr>
        <w:ind w:left="1506" w:hanging="360"/>
      </w:pPr>
    </w:lvl>
    <w:lvl w:ilvl="2" w:tplc="BCAEF566">
      <w:start w:val="1"/>
      <w:numFmt w:val="lowerRoman"/>
      <w:lvlText w:val="%3."/>
      <w:lvlJc w:val="right"/>
      <w:pPr>
        <w:ind w:left="2226" w:hanging="180"/>
      </w:pPr>
    </w:lvl>
    <w:lvl w:ilvl="3" w:tplc="D012DC44">
      <w:start w:val="1"/>
      <w:numFmt w:val="decimal"/>
      <w:lvlText w:val="%4."/>
      <w:lvlJc w:val="left"/>
      <w:pPr>
        <w:ind w:left="2946" w:hanging="360"/>
      </w:pPr>
    </w:lvl>
    <w:lvl w:ilvl="4" w:tplc="B5DA14CA">
      <w:start w:val="1"/>
      <w:numFmt w:val="lowerLetter"/>
      <w:lvlText w:val="%5."/>
      <w:lvlJc w:val="left"/>
      <w:pPr>
        <w:ind w:left="3666" w:hanging="360"/>
      </w:pPr>
    </w:lvl>
    <w:lvl w:ilvl="5" w:tplc="E564ED6A">
      <w:start w:val="1"/>
      <w:numFmt w:val="lowerRoman"/>
      <w:lvlText w:val="%6."/>
      <w:lvlJc w:val="right"/>
      <w:pPr>
        <w:ind w:left="4386" w:hanging="180"/>
      </w:pPr>
    </w:lvl>
    <w:lvl w:ilvl="6" w:tplc="865634E2">
      <w:start w:val="1"/>
      <w:numFmt w:val="decimal"/>
      <w:lvlText w:val="%7."/>
      <w:lvlJc w:val="left"/>
      <w:pPr>
        <w:ind w:left="5106" w:hanging="360"/>
      </w:pPr>
    </w:lvl>
    <w:lvl w:ilvl="7" w:tplc="1D024D62">
      <w:start w:val="1"/>
      <w:numFmt w:val="lowerLetter"/>
      <w:lvlText w:val="%8."/>
      <w:lvlJc w:val="left"/>
      <w:pPr>
        <w:ind w:left="5826" w:hanging="360"/>
      </w:pPr>
    </w:lvl>
    <w:lvl w:ilvl="8" w:tplc="1FDA3CE4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73FBD"/>
    <w:multiLevelType w:val="hybridMultilevel"/>
    <w:tmpl w:val="FA064536"/>
    <w:lvl w:ilvl="0" w:tplc="8690CA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CA14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42EF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B964D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36865A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78658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87E42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64BA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4C74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5E3C6055"/>
    <w:multiLevelType w:val="hybridMultilevel"/>
    <w:tmpl w:val="ED92BA74"/>
    <w:lvl w:ilvl="0" w:tplc="948C51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760E5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AA4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6F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EBC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625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CA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C9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A05D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311D5"/>
    <w:multiLevelType w:val="hybridMultilevel"/>
    <w:tmpl w:val="A9AA943A"/>
    <w:lvl w:ilvl="0" w:tplc="158C23E8">
      <w:numFmt w:val="bullet"/>
      <w:lvlText w:val="-"/>
      <w:lvlJc w:val="left"/>
      <w:pPr>
        <w:ind w:left="786" w:hanging="360"/>
      </w:pPr>
      <w:rPr>
        <w:rFonts w:ascii="Times New Roman" w:eastAsia="Calibri" w:hAnsi="Times New Roman"/>
        <w:i w:val="0"/>
      </w:rPr>
    </w:lvl>
    <w:lvl w:ilvl="1" w:tplc="FD7E6F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5A65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30A8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4E2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A81F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44EB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10F3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BC1D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9AB0112"/>
    <w:multiLevelType w:val="hybridMultilevel"/>
    <w:tmpl w:val="83C23E20"/>
    <w:lvl w:ilvl="0" w:tplc="BF7C86FA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/>
      </w:rPr>
    </w:lvl>
    <w:lvl w:ilvl="1" w:tplc="C914A910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7ACA101E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9ED86562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EC6EBAE2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E2A8E9C0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D9C652C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CFB4C612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460A3C54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" w15:restartNumberingAfterBreak="0">
    <w:nsid w:val="71994B78"/>
    <w:multiLevelType w:val="hybridMultilevel"/>
    <w:tmpl w:val="EF22AB16"/>
    <w:lvl w:ilvl="0" w:tplc="1220A584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5546B55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9A224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546C96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6A2F7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31C4AF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2F8011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ACECF0A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28E01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91"/>
    <w:rsid w:val="00010B91"/>
    <w:rsid w:val="00084245"/>
    <w:rsid w:val="00084716"/>
    <w:rsid w:val="000D3895"/>
    <w:rsid w:val="00691F72"/>
    <w:rsid w:val="00DD34A0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2A2"/>
  <w15:docId w15:val="{FA29ACEE-9AD8-437B-936F-3490DEFC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afb">
    <w:name w:val="Шрифт абзацу за промовчанням"/>
    <w:semiHidden/>
  </w:style>
  <w:style w:type="paragraph" w:styleId="afc">
    <w:name w:val="Body Text"/>
    <w:basedOn w:val="a"/>
    <w:pPr>
      <w:jc w:val="both"/>
    </w:pPr>
    <w:rPr>
      <w:sz w:val="28"/>
      <w:szCs w:val="28"/>
    </w:rPr>
  </w:style>
  <w:style w:type="paragraph" w:customStyle="1" w:styleId="13">
    <w:name w:val="Знак Знак Знак Знак1 Знак Знак Знак"/>
    <w:basedOn w:val="a"/>
    <w:rPr>
      <w:rFonts w:ascii="Verdana" w:hAnsi="Verdana"/>
      <w:lang w:val="en-US" w:eastAsia="en-US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4">
    <w:name w:val="Знак Знак1 Знак Знак Знак Знак"/>
    <w:basedOn w:val="a"/>
    <w:rPr>
      <w:rFonts w:ascii="Verdana" w:hAnsi="Verdana"/>
      <w:lang w:val="en-US" w:eastAsia="en-US"/>
    </w:rPr>
  </w:style>
  <w:style w:type="paragraph" w:customStyle="1" w:styleId="afe">
    <w:name w:val="Знак Знак Знак Знак"/>
    <w:basedOn w:val="a"/>
    <w:rPr>
      <w:rFonts w:ascii="Verdana" w:hAnsi="Verdana"/>
      <w:lang w:val="en-US" w:eastAsia="en-US"/>
    </w:rPr>
  </w:style>
  <w:style w:type="paragraph" w:customStyle="1" w:styleId="aff">
    <w:name w:val="Знак"/>
    <w:basedOn w:val="a"/>
    <w:rPr>
      <w:rFonts w:ascii="Verdana" w:hAnsi="Verdana"/>
      <w:lang w:eastAsia="en-US"/>
    </w:rPr>
  </w:style>
  <w:style w:type="paragraph" w:styleId="aff0">
    <w:name w:val="List Paragraph"/>
    <w:basedOn w:val="a"/>
    <w:pPr>
      <w:ind w:left="720"/>
      <w:contextualSpacing/>
    </w:pPr>
  </w:style>
  <w:style w:type="paragraph" w:customStyle="1" w:styleId="login-buttonuser">
    <w:name w:val="login-button__use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7754</Words>
  <Characters>4420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2023-01-24T10:27:00Z</dcterms:created>
  <dcterms:modified xsi:type="dcterms:W3CDTF">2023-02-02T15:57:00Z</dcterms:modified>
</cp:coreProperties>
</file>