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30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діяльності виконавчих органів ради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громадською організацією «</w:t>
      </w:r>
      <w:r>
        <w:rPr>
          <w:rFonts w:ascii="Times New Roman" w:hAnsi="Times New Roman"/>
          <w:sz w:val="28"/>
          <w:szCs w:val="28"/>
        </w:rPr>
        <w:t xml:space="preserve">Поліський фонд міжнародних та регіональних досліджень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в ході реалізації проекту «</w:t>
      </w:r>
      <w:r>
        <w:rPr>
          <w:rFonts w:ascii="Times New Roman" w:hAnsi="Times New Roman"/>
          <w:sz w:val="28"/>
          <w:szCs w:val="28"/>
        </w:rPr>
        <w:t xml:space="preserve">ReBoost</w:t>
      </w:r>
      <w:r>
        <w:rPr>
          <w:rFonts w:ascii="Times New Roman" w:hAnsi="Times New Roman"/>
          <w:sz w:val="28"/>
          <w:szCs w:val="28"/>
        </w:rPr>
        <w:t xml:space="preserve">: громадський центр швидкого реагування на відновлення територіальних громад 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відповідно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2740761-A452-4EF7-AAA6-594754598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2023-01-19T13:40:00Z</dcterms:created>
  <dcterms:modified xsi:type="dcterms:W3CDTF">2023-01-30T17:52:58Z</dcterms:modified>
</cp:coreProperties>
</file>