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jc w:val="both"/>
        <w:rPr>
          <w:sz w:val="28"/>
        </w:rPr>
      </w:pPr>
      <w:r>
        <w:rPr>
          <w:sz w:val="28"/>
        </w:rPr>
        <w:t xml:space="preserve">Додаток 1</w:t>
      </w:r>
      <w:r>
        <w:rPr>
          <w:sz w:val="28"/>
        </w:rPr>
      </w:r>
      <w:r/>
    </w:p>
    <w:p>
      <w:pPr>
        <w:ind w:left="6236" w:right="0" w:firstLine="0"/>
        <w:jc w:val="both"/>
        <w:tabs>
          <w:tab w:val="left" w:pos="3969" w:leader="none"/>
        </w:tabs>
        <w:rPr>
          <w:sz w:val="28"/>
        </w:rPr>
        <w:outlineLvl w:val="0"/>
      </w:pPr>
      <w:r>
        <w:rPr>
          <w:sz w:val="28"/>
        </w:rPr>
        <w:t xml:space="preserve">до рішення 2</w:t>
      </w:r>
      <w:r>
        <w:rPr>
          <w:sz w:val="28"/>
        </w:rPr>
        <w:t xml:space="preserve">9</w:t>
      </w:r>
      <w:r>
        <w:rPr>
          <w:sz w:val="28"/>
        </w:rPr>
        <w:t xml:space="preserve"> сесії Менської міської ради </w:t>
      </w:r>
      <w:r>
        <w:rPr>
          <w:sz w:val="28"/>
        </w:rPr>
        <w:t xml:space="preserve">8</w:t>
      </w:r>
      <w:r>
        <w:rPr>
          <w:sz w:val="28"/>
        </w:rPr>
        <w:t xml:space="preserve"> скликання </w:t>
      </w:r>
      <w:r>
        <w:rPr>
          <w:sz w:val="28"/>
        </w:rPr>
      </w:r>
      <w:r/>
    </w:p>
    <w:p>
      <w:pPr>
        <w:ind w:left="6236" w:right="0" w:firstLine="0"/>
        <w:jc w:val="both"/>
        <w:tabs>
          <w:tab w:val="left" w:pos="3969" w:leader="none"/>
        </w:tabs>
        <w:rPr>
          <w:sz w:val="28"/>
        </w:rPr>
        <w:outlineLvl w:val="0"/>
      </w:pPr>
      <w:r>
        <w:rPr>
          <w:sz w:val="28"/>
        </w:rPr>
        <w:t xml:space="preserve">30</w:t>
      </w:r>
      <w:r>
        <w:rPr>
          <w:sz w:val="28"/>
        </w:rPr>
        <w:t xml:space="preserve"> січня </w:t>
      </w:r>
      <w:r>
        <w:rPr>
          <w:sz w:val="28"/>
        </w:rPr>
        <w:t xml:space="preserve">20</w:t>
      </w:r>
      <w:r>
        <w:rPr>
          <w:sz w:val="28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 xml:space="preserve"> №03</w:t>
      </w:r>
      <w:r/>
    </w:p>
    <w:p>
      <w:pPr>
        <w:ind w:left="6236" w:right="0"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62"/>
        <w:jc w:val="center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ПОЛОЖЕННЯ</w:t>
      </w:r>
      <w:r/>
    </w:p>
    <w:p>
      <w:pPr>
        <w:pStyle w:val="862"/>
        <w:jc w:val="center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ПРО ВІДДІЛ БУХГАЛТЕРСЬКОГО ОБЛІКУ ТА ЗВІТНОСТІ</w:t>
      </w:r>
      <w:r/>
    </w:p>
    <w:p>
      <w:pPr>
        <w:pStyle w:val="862"/>
        <w:jc w:val="center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МЕНСЬКОЇ </w:t>
      </w:r>
      <w:r>
        <w:rPr>
          <w:rStyle w:val="864"/>
          <w:sz w:val="28"/>
          <w:szCs w:val="28"/>
          <w:lang w:val="uk-UA"/>
        </w:rPr>
        <w:t xml:space="preserve">МІСЬКОЇ РАДИ</w:t>
      </w:r>
      <w:r/>
    </w:p>
    <w:p>
      <w:pPr>
        <w:pStyle w:val="862"/>
        <w:spacing w:after="120" w:before="12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І. ЗАГАЛЬНІ ПОЛОЖЕННЯ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Відділ бухгалтерського обліку та </w:t>
      </w:r>
      <w:r>
        <w:rPr>
          <w:sz w:val="28"/>
          <w:szCs w:val="28"/>
          <w:lang w:val="uk-UA"/>
        </w:rPr>
        <w:t xml:space="preserve">звітності</w:t>
      </w:r>
      <w:r>
        <w:rPr>
          <w:sz w:val="28"/>
          <w:szCs w:val="28"/>
          <w:lang w:val="uk-UA"/>
        </w:rPr>
        <w:t xml:space="preserve"> Менської міської ради (далі – Відділ) утворюється</w:t>
      </w:r>
      <w:r>
        <w:rPr>
          <w:sz w:val="28"/>
          <w:szCs w:val="28"/>
          <w:shd w:val="clear" w:fill="FFFFFF" w:color="auto"/>
          <w:lang w:val="uk-UA"/>
        </w:rPr>
        <w:t xml:space="preserve"> Менською міською радою та є самостійним структурним підрозділом </w:t>
      </w:r>
      <w:r>
        <w:rPr>
          <w:sz w:val="28"/>
          <w:szCs w:val="28"/>
          <w:shd w:val="clear" w:fill="FFFFFF" w:color="auto"/>
          <w:lang w:val="uk-UA"/>
        </w:rPr>
        <w:t xml:space="preserve">Менської </w:t>
      </w:r>
      <w:r>
        <w:rPr>
          <w:sz w:val="28"/>
          <w:szCs w:val="28"/>
          <w:shd w:val="clear" w:fill="FFFFFF" w:color="auto"/>
          <w:lang w:val="uk-UA"/>
        </w:rPr>
        <w:t xml:space="preserve">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Відділ підзвітний і підконтрольний Менській міській раді, підпорядкований її виконавчому комітету та Менському міському голові.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Відділ у своїй діяльності керується Конституцією України, Бюджетним кодексом України, Законами України "Про місцеве самоврядування в Україні", "Про службу в органах місцевого самоврядування", "Про бухгалте</w:t>
      </w:r>
      <w:r>
        <w:rPr>
          <w:sz w:val="28"/>
          <w:szCs w:val="28"/>
          <w:lang w:val="uk-UA"/>
        </w:rPr>
        <w:t xml:space="preserve">рський облік та фінансову звітність в Україні", постановою Кабінету Міністрів України "Про затвердження Типового положення про бухгалтерську службу бюджетної установи", нормативними актами Президента України, Верховної ради України, Кабінету Міністрів Укра</w:t>
      </w:r>
      <w:r>
        <w:rPr>
          <w:sz w:val="28"/>
          <w:szCs w:val="28"/>
          <w:lang w:val="uk-UA"/>
        </w:rPr>
        <w:t xml:space="preserve">їни, інструкціями, наказами Міністерства фінансів України, Головного управління державного казначейства України, рішеннями міської ради та її виконавчого комітету, розпорядженнями Менського міського голови, а також цим Положенням та технологічними картами.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Працівники Відділу утримуються за рахунок коштів міського бюджету.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 На працівників Відділу поширюється дія Закону України "Про службу в органах місцевого самоврядування".</w:t>
      </w:r>
      <w:r/>
    </w:p>
    <w:p>
      <w:pPr>
        <w:pStyle w:val="862"/>
        <w:spacing w:after="0" w:before="0"/>
        <w:rPr>
          <w:rStyle w:val="864"/>
          <w:sz w:val="28"/>
          <w:szCs w:val="28"/>
          <w:highlight w:val="none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ІІ. СТРУКТУРА ТА ОРГАНІЗАЦІЯ РОБОТИ ВІДДІЛУ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Структура і штат Відділу затверджується Менською міською радою, штатний розпис – Менським міським головою.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Керівником Відділу є начальник Відділу, який підпорядковується та є підзвітним Менському міському голові</w:t>
      </w:r>
      <w:r>
        <w:rPr>
          <w:sz w:val="28"/>
          <w:szCs w:val="28"/>
          <w:lang w:val="uk-UA"/>
        </w:rPr>
        <w:t xml:space="preserve">, секретарю ради</w:t>
      </w:r>
      <w:r>
        <w:rPr>
          <w:sz w:val="28"/>
          <w:szCs w:val="28"/>
          <w:lang w:val="uk-UA"/>
        </w:rPr>
        <w:t xml:space="preserve">, заступник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 xml:space="preserve">з питань діяльності викон</w:t>
      </w:r>
      <w:r>
        <w:rPr>
          <w:sz w:val="28"/>
          <w:szCs w:val="28"/>
          <w:lang w:val="uk-UA"/>
        </w:rPr>
        <w:t xml:space="preserve">авчих органів ради згідно з розподілом обов’язків.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призначається на посаду та звільняється з посади, відповідно до законодавства про працю з урахуванням вимог до професійно-кваліфікаційного рівня, Менським міським головою.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Працівники Відділу, призначаються н</w:t>
      </w:r>
      <w:r>
        <w:rPr>
          <w:sz w:val="28"/>
          <w:szCs w:val="28"/>
          <w:lang w:val="uk-UA"/>
        </w:rPr>
        <w:t xml:space="preserve">а посаду розпорядженням Менського міського голови за рекомендацією конкурсної комісії чи за іншою процедурою, передбаченою законодавством України, та звільняються з посади розпорядження Менського міського голови відповідно до чинного законодавства України.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У разі тимчасової відсутності начальника Відділу (відрядж</w:t>
      </w:r>
      <w:r>
        <w:rPr>
          <w:sz w:val="28"/>
          <w:szCs w:val="28"/>
          <w:lang w:val="uk-UA"/>
        </w:rPr>
        <w:t xml:space="preserve">ення, відпустки, тимчасової втрати працездатності тощо) виконання його обов'язків покладається на заступника начальника Відділу, а у разі відсутності заступника начальника Відділу, відповідно до розпорядження міського голови – на іншого працівника Відділу.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Положення про Відділ затверджується Менською міською радою. Посадові інструкції працівників Відділу затверджуються міським головою.</w:t>
      </w:r>
      <w:r/>
    </w:p>
    <w:p>
      <w:pPr>
        <w:pStyle w:val="862"/>
        <w:spacing w:after="0" w:before="0"/>
        <w:rPr>
          <w:rStyle w:val="864"/>
          <w:sz w:val="28"/>
          <w:szCs w:val="28"/>
          <w:highlight w:val="none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ІІІ. ЗАВДАННЯ ТА ФУНКЦІЇ ВІДДІЛУ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Основними завданнями Відділу є: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 Ведення бухгалтерського обліку фінансово-господарської діяльності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 та складання звітності.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3.1.2. Від</w:t>
      </w:r>
      <w:r>
        <w:rPr>
          <w:sz w:val="28"/>
          <w:szCs w:val="28"/>
          <w:lang w:val="uk-UA"/>
        </w:rPr>
        <w:t xml:space="preserve">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3.1.3. Забезпечення дотримання бюджетного за</w:t>
      </w:r>
      <w:r>
        <w:rPr>
          <w:sz w:val="28"/>
          <w:szCs w:val="28"/>
          <w:lang w:val="uk-UA"/>
        </w:rPr>
        <w:t xml:space="preserve">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3.1.4. 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3.1.5. Запобігання виникненню негативних явищ у фінансово-господарській діяльності, виявлення і мобілізація внутрішньогосподарських резервів.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Відділом здійснюється методичне керівництво та контроль з</w:t>
      </w:r>
      <w:r>
        <w:rPr>
          <w:sz w:val="28"/>
          <w:szCs w:val="28"/>
          <w:lang w:val="uk-UA"/>
        </w:rPr>
        <w:t xml:space="preserve">а дотриманням вимог законодавства з питань ведення бухгалтерського обліку, складання фінансової та бюджетної звітності по апарату, виконавчих органах та установах, для яких виконавчий комітет Менської міської ради є головним розпорядником бюджетних коштів.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Відділ відповідно до покладених на нього завдань виконує наступні функції: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3.3.1. Веде бухгал</w:t>
      </w:r>
      <w:r>
        <w:rPr>
          <w:sz w:val="28"/>
          <w:szCs w:val="28"/>
          <w:lang w:val="uk-UA"/>
        </w:rPr>
        <w:t xml:space="preserve">терський облік відповідно до Національних положень (стандартів) бухгалтерського обліку в державному секторі, а також інших нормативно-правових актів, щодо ведення бухгалтерського обліку з відображенням господарських операцій на підставі прийнятих до обліку</w:t>
      </w:r>
      <w:r>
        <w:rPr>
          <w:sz w:val="28"/>
          <w:szCs w:val="28"/>
          <w:lang w:val="uk-UA"/>
        </w:rPr>
        <w:t xml:space="preserve"> первинних документів шляхом подвійного запису їх на взаємопов'язаних рахунках бухгалтерського обліку відповідно до вимог Плану рахунків бухгалтерського обліку бюджетних установ, затвердженого наказом Міністерства фінансів України від 31.12.2013 р. № 1203.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3.3.2. Забезпечує тотожність даних аналітичного обліку оборотам і залишкам за рахунками синтетичного обліку на перше число кожного місяця.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3.3.3. Своєчасно складає та подає звіти до органів державної статистики, фонду соціального страхування з тимчасової втрати працездатності, Пенсійного фонду України, Державної фіскальної служби, управління Державного казначейства.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3.3.4. Приймає від установ, для яких виконавчий комітет Менської міської ради є головним розпорядником бюджетних коштів, фінансову та бюджетну звітність, аналізує ефективність використання ними бюджетних коштів.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3.3.5. Проводить аналіз обсягів видатків за попередні роки, опрацьовує та подає до фінансового управління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t xml:space="preserve">ської ради попередню розрахункову потребу на наступний бюджетний рік, складає бюджетний запит з відповідними обґрунтуваннями, складає проекти кошторисів, планів асигнувань загального фонду бюджету та планів спеціального фонду місцевого бюджету, складає та </w:t>
      </w:r>
      <w:r>
        <w:rPr>
          <w:sz w:val="28"/>
          <w:szCs w:val="28"/>
          <w:lang w:val="uk-UA"/>
        </w:rPr>
        <w:t xml:space="preserve">подає на зат</w:t>
      </w:r>
      <w:r>
        <w:rPr>
          <w:sz w:val="28"/>
          <w:szCs w:val="28"/>
          <w:lang w:val="uk-UA"/>
        </w:rPr>
        <w:t xml:space="preserve">вердження кошториси, плани асигнувань загального фонду бюджету та плани спеціального фонду місцевого бюджету, паспорта бюджетних програм, в разі необхідності внесення змін протягом бюджетного року складає довідки про зміни до кошторису та плану асигнувань.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3.3.6. Складає штатний розпис і розрахунки до нього в розрізі апарату, управлінь та відділів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3.3.7. Приймає участь у розробці міських бюджетних програм та опрацьовує отри</w:t>
      </w:r>
      <w:r>
        <w:rPr>
          <w:sz w:val="28"/>
          <w:szCs w:val="28"/>
          <w:lang w:val="uk-UA"/>
        </w:rPr>
        <w:t xml:space="preserve">мані документи та інформацію, що стосується питань порушених в конкретній бюджетній програмі, протягом року здійснює аналіз їх виконання, контроль за цільовим та ефективним використанням бюджетних коштів відповідно до напрямів діяльності бюджетних програм.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3.3.8. Готує проекти рішень </w:t>
      </w:r>
      <w:r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Менської міської ради та </w:t>
      </w: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ради, розпоряджен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  <w:lang w:val="uk-UA"/>
        </w:rPr>
        <w:t xml:space="preserve"> Менського міського голови з питань, що входять до компетенції Відділу</w:t>
      </w:r>
      <w:r>
        <w:rPr>
          <w:sz w:val="28"/>
          <w:szCs w:val="28"/>
          <w:lang w:val="uk-UA"/>
        </w:rPr>
        <w:t xml:space="preserve"> в тому числі проекти нормативно-правових актів; проводить експертизу проектів таких актів на відповідність бюджетному законодавству.</w:t>
      </w:r>
      <w:bookmarkStart w:id="1" w:name="_GoBack"/>
      <w:r/>
      <w:bookmarkEnd w:id="1"/>
      <w:r/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3.3.9. Координує і надає методичну допомогу по веденню бухгалтерського обліку та здійснює поточний контроль за фінансовою діяльністю установ, для яких виконавчий комітет Менської міської ради є головним розпорядником коштів, а саме: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дотриманням бюджетного законодавства при взятті бюджетних зобов'язань, їх реєстрації в органах Державної казначейської служби та здійсненням платежів відповідно до взятих бюджетних зобов'язань;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повнотою надходжень та витрачанням бюджетних коштів установ, для яких виконавчий комітет Менської міської ради є головним розпорядником бюджетних коштів;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правильністю зарахування та використання власних надходжень установ, для яких виконавчий комітет Менської міської ради є головним розпорядником бюджетних коштів;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веденням бухгалтерського обліку, складанням фінансової та бюджетної звітності, дотриманням бюджетного законодавства та нац</w:t>
      </w:r>
      <w:r>
        <w:rPr>
          <w:sz w:val="28"/>
          <w:szCs w:val="28"/>
          <w:lang w:val="uk-UA"/>
        </w:rPr>
        <w:t xml:space="preserve">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установам, для яких виконавчий комітет Менської міської ради є головним розпорядником бюджетних коштів.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3.3.10. Нараховує заробітну плату працівникам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ради, особам, направленим на громадські роботи та іншим фізичним особам по цивільно- правовим угодам.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3.3.11. Своєчасно та у повному обсязі перераховує податки і збори (обов'язкові платежі) до відповідних бюджетів.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3.3.12. Забезпечує дотримання вимог нормативно-правових актів щодо: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інвентаризації необоротних активів, товарно-матеріальних цінностей, грошових коштів, документів, розрахунків та інших статей балансу. Кількість інвентаризацій у звітному році, дати їх проведення, перелік майна і зобов’язань, </w:t>
      </w:r>
      <w:r>
        <w:rPr>
          <w:sz w:val="28"/>
          <w:szCs w:val="28"/>
          <w:lang w:val="uk-UA"/>
        </w:rPr>
        <w:t xml:space="preserve">що підлягають інвентаризації визначаються розпорядженням Менського міського голови.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3.3.13. Проводить аналіз даних бухгалтерського обліку та звітності, у тому числі зведен</w:t>
      </w:r>
      <w:r>
        <w:rPr>
          <w:sz w:val="28"/>
          <w:szCs w:val="28"/>
          <w:lang w:val="uk-UA"/>
        </w:rPr>
        <w:t xml:space="preserve">ої звітності,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3.3.14. Забезпечує 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складання звітності.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3.3.15. Бере участь у роботі з оформлення матеріалів щодо нестачі, крадіжки грошових коштів та майна, псування активів.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3.3.16. Розробляє та забезпечує здійснення заходів щодо дотримання та підвищення рівня фінансово-бюджетної дисципліни установ, для яких виконавчий комітет Менської міської ради є головним розпорядником бюджетних коштів.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Здійснює, в межах повноважень, договірну роботу щодо договорів, угод, контрактів, стороною яких виступає Менська міська рада або її виконавчий комітет.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За дорученням керівництва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Розглядає звернення громадян, підприємств</w:t>
      </w:r>
      <w:r>
        <w:rPr>
          <w:sz w:val="28"/>
          <w:szCs w:val="28"/>
          <w:lang w:val="uk-UA"/>
        </w:rPr>
        <w:t xml:space="preserve">, установ, організацій, у тому числі об'єднань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  <w:r/>
    </w:p>
    <w:p>
      <w:pPr>
        <w:pStyle w:val="862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ІV. ПРАВА ВІДДІЛУ</w:t>
      </w:r>
      <w:r/>
    </w:p>
    <w:p>
      <w:pPr>
        <w:pStyle w:val="862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Відділ має право: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4.1.1. Представляти виконавчий комітет Менської міської ради в установленому</w:t>
      </w:r>
      <w:r>
        <w:rPr>
          <w:sz w:val="28"/>
          <w:szCs w:val="28"/>
          <w:lang w:val="uk-UA"/>
        </w:rPr>
        <w:t xml:space="preserve"> порядку з питань, що відносяться до компетенції Відділу, в органах державної влади, органах місцевого самоврядування, фондах загально обов'язкового державного соціального страхування, підприємствах, установах та організаціях незалежно від форми власності.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Встановлювати обґрунтовані вимоги до порядку оформлення і подання до Відділу первинних документів для їх відображення у бухгалтерському обліку, а також здійснювати контроль за їх дотриманням.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4.1.3. Одержувати від посадових осіб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ради та установ, для яких Менськ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є головним розпорядником бюджетних коштів, документи, звіти та інформацію необхідну для виконання покладених на Відділ функцій.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4.1.4. Вносити Менському міському голові пропозиції щодо удосконалення порядку ведення бухгалтерського обліку, складання звітності, здійснення поточного контролю, провадження фінансово-господарської діяльності.</w:t>
      </w:r>
      <w:r/>
    </w:p>
    <w:p>
      <w:pPr>
        <w:pStyle w:val="862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V. ОБОВ’ЯЗКИ ВІДДІЛУ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5.1. Посадові особи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</w:t>
      </w:r>
      <w:r>
        <w:rPr>
          <w:sz w:val="28"/>
          <w:szCs w:val="28"/>
          <w:shd w:val="clear" w:fill="FFFFFF" w:color="auto"/>
          <w:lang w:val="uk-UA"/>
        </w:rPr>
        <w:t xml:space="preserve">можуть зашкодити інтересам служби чи негативно вплинути на репутацію Менської міської ради, її виконавчого комітету та посадових осіб.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5.2. Посадові особи відділу несуть персональну відповідальність згідно з чинним законодавством України.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5.3. 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lang w:val="uk-UA"/>
        </w:rPr>
        <w:t xml:space="preserve">5.4. Начальник відділу: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5.4.1. Здійснює керівництво  діяльністю відділу бухгалтерського обліку та звітності, розподіляє обов’язки між працівниками, очолює та контролює їх роботу.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5.4.2. Забезпечує виконання покладених на відділ завдань щодо організації бухгалтерського обліку господарсько-фінансової діяльності і контролює дотримання правил його ведення.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5.4.3. Здійснює методологічне керівництво бухгалтерським обліком у відділі, керує розробкою та впровадженням заходів щодо дотримання державної та фінансової дисципліни.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5.4.4. Має право фінансового підпису та підписує разом з Менським міським головою або іншою уповноваженою особою фінансово-господарські та фінансово-розрахункові документи, звітність.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5.4.5. Забезпечує контроль і відображення на рахунках бухгалтерського обліку господарських операцій, надання оперативної інформації, складання подання зведеної бухгалтерської звітності у відповідні терміни.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5.4.6. Здійснює контроль за законністю, своєчасністю та правильністю оформлення документів, дотриманням фінансової дисципліни, правильністю нарахування та перерахування податків та інших пл</w:t>
      </w:r>
      <w:r>
        <w:rPr>
          <w:sz w:val="28"/>
          <w:szCs w:val="28"/>
          <w:lang w:val="uk-UA"/>
        </w:rPr>
        <w:t xml:space="preserve">атежів, дотриманням встановлених правил проведення інвентаризації грошових, товарно-матеріальних цінностей, основних фондів, розрахунків і платіжних зобов’язань, стягненням у встановлений термін дебіторської та розрахунками по кредиторській заборгованості.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5.4.7. Відповідає за належне збереження бухгалтерських документів.</w:t>
      </w:r>
      <w:r/>
    </w:p>
    <w:p>
      <w:pPr>
        <w:pStyle w:val="862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VІ. ВІДПОВІДАЛЬНІСТЬ ВІДДІЛУ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Персональну відповідальність за роботу Відділу та належне здійснення покладених на нього завдань та функцій несе начальник Відділу.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Працівники несуть відповідальність за своєчасне та належне виконання обов’язків, передбачених даним Положенням і посадовими інструкціями, в порядку, визначеним чинним законодавством.</w:t>
      </w:r>
      <w:r/>
    </w:p>
    <w:p>
      <w:pPr>
        <w:pStyle w:val="862"/>
        <w:spacing w:after="0" w:before="0"/>
        <w:rPr>
          <w:rStyle w:val="864"/>
          <w:sz w:val="28"/>
          <w:szCs w:val="28"/>
          <w:lang w:val="uk-UA"/>
        </w:rPr>
      </w:pPr>
      <w:r>
        <w:rPr>
          <w:rStyle w:val="864"/>
          <w:sz w:val="28"/>
          <w:szCs w:val="28"/>
          <w:lang w:val="uk-UA"/>
        </w:rPr>
        <w:t xml:space="preserve">РОЗДІЛ VІІ. ЗАКЛЮЧНІ ПОЛОЖЕННЯ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 Припинення діяльності Відділу здійснюється за рішенням Менської міської ради відповідно до вимог чинного законодавства України.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7.2 Зміни і доповнення до цього Положення вносяться відповідно до процедури розгляду питань у Менській міській раді, передбаченої Регламентом роботи Менської міської ради.</w:t>
      </w:r>
      <w:r/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862"/>
        <w:ind w:left="0" w:right="0" w:firstLine="567"/>
        <w:jc w:val="both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862"/>
        <w:ind w:left="0" w:right="0" w:firstLine="0"/>
        <w:jc w:val="both"/>
        <w:spacing w:after="0" w:before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Начальник відділу бухгалтерського</w:t>
      </w:r>
      <w:r>
        <w:rPr>
          <w:sz w:val="28"/>
          <w:szCs w:val="28"/>
          <w:highlight w:val="none"/>
          <w:lang w:val="uk-UA"/>
        </w:rPr>
      </w:r>
    </w:p>
    <w:p>
      <w:pPr>
        <w:pStyle w:val="862"/>
        <w:ind w:left="0" w:right="0" w:firstLine="0"/>
        <w:jc w:val="both"/>
        <w:spacing w:after="0" w:before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обліку т а звітності</w:t>
      </w:r>
      <w:r>
        <w:rPr>
          <w:sz w:val="28"/>
          <w:szCs w:val="28"/>
          <w:highlight w:val="none"/>
          <w:lang w:val="uk-UA"/>
        </w:rPr>
      </w:r>
    </w:p>
    <w:p>
      <w:pPr>
        <w:pStyle w:val="862"/>
        <w:ind w:left="0" w:right="0" w:firstLine="0"/>
        <w:jc w:val="both"/>
        <w:spacing w:after="0" w:before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Тетяна ЄМЕЦЬ</w:t>
      </w:r>
      <w:r>
        <w:rPr>
          <w:sz w:val="28"/>
          <w:szCs w:val="28"/>
          <w:highlight w:val="none"/>
          <w:lang w:val="uk-UA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right"/>
      <w:tabs>
        <w:tab w:val="left" w:pos="3543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>
      <w:tab/>
      <w:t xml:space="preserve">продовження додатка </w:t>
    </w:r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9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8"/>
    <w:next w:val="858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9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8"/>
    <w:next w:val="858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9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8"/>
    <w:next w:val="858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9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9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9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9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9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858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rPr>
      <w:rFonts w:ascii="Times New Roman" w:hAnsi="Times New Roman" w:cs="Times New Roman" w:eastAsia="Times New Roman"/>
      <w:sz w:val="20"/>
      <w:szCs w:val="20"/>
      <w:lang w:eastAsia="ar-SA"/>
    </w:rPr>
    <w:pPr>
      <w:spacing w:lineRule="auto" w:line="240" w:after="0"/>
    </w:p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Normal (Web)"/>
    <w:basedOn w:val="858"/>
    <w:link w:val="863"/>
    <w:rPr>
      <w:sz w:val="24"/>
      <w:szCs w:val="24"/>
      <w:lang w:val="ru-RU"/>
    </w:rPr>
    <w:pPr>
      <w:spacing w:after="280" w:before="280"/>
    </w:pPr>
  </w:style>
  <w:style w:type="character" w:styleId="863" w:customStyle="1">
    <w:name w:val="Звичайний (веб) Знак"/>
    <w:link w:val="862"/>
    <w:rPr>
      <w:rFonts w:ascii="Times New Roman" w:hAnsi="Times New Roman" w:cs="Times New Roman" w:eastAsia="Times New Roman"/>
      <w:sz w:val="24"/>
      <w:szCs w:val="24"/>
      <w:lang w:val="ru-RU" w:eastAsia="ar-SA"/>
    </w:rPr>
  </w:style>
  <w:style w:type="character" w:styleId="864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</cp:revision>
  <dcterms:created xsi:type="dcterms:W3CDTF">2023-01-23T09:14:00Z</dcterms:created>
  <dcterms:modified xsi:type="dcterms:W3CDTF">2023-02-01T15:50:47Z</dcterms:modified>
</cp:coreProperties>
</file>