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Додаток 1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0"/>
          <w:lang w:eastAsia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29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 сесії Менської міської ради 8 скликання </w:t>
      </w:r>
      <w:r/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30 січня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eastAsia="uk-UA"/>
        </w:rPr>
        <w:t xml:space="preserve"> року № 04</w:t>
      </w:r>
      <w:r/>
    </w:p>
    <w:p>
      <w:pPr>
        <w:ind w:left="5669"/>
        <w:jc w:val="both"/>
        <w:spacing w:lineRule="auto" w:line="240" w:after="0"/>
        <w:rPr>
          <w:color w:val="000000"/>
        </w:rPr>
      </w:pPr>
      <w:r>
        <w:rPr>
          <w:color w:val="000000"/>
        </w:rPr>
      </w:r>
      <w:r/>
    </w:p>
    <w:p>
      <w:pPr>
        <w:ind w:firstLine="426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ПОЛОЖЕННЯ</w:t>
      </w:r>
      <w:r/>
    </w:p>
    <w:p>
      <w:pPr>
        <w:ind w:firstLine="426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про відділ «Центр надання адміністративних послуг»</w:t>
      </w:r>
      <w:r/>
    </w:p>
    <w:p>
      <w:pPr>
        <w:ind w:firstLine="426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/>
    </w:p>
    <w:p>
      <w:pPr>
        <w:ind w:firstLine="426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1. Відділ «Центр надання адміністративних послуг» Менської міської ради (далі – Центр) утворюється з метою надання адміністративних послуг Менською міською радою, є структурним підрозділом (</w:t>
      </w:r>
      <w:r>
        <w:rPr>
          <w:rFonts w:ascii="Times New Roman" w:hAnsi="Times New Roman" w:cs="Times New Roman" w:eastAsia="Times New Roman"/>
          <w:i/>
          <w:iCs/>
          <w:color w:val="000000" w:themeColor="text1"/>
          <w:sz w:val="28"/>
          <w:szCs w:val="28"/>
          <w:lang w:eastAsia="uk-UA"/>
        </w:rPr>
        <w:t xml:space="preserve">виконавчим органом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), в якому надаються адміністративні послуги згідно з визначеним Переліком.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2. Рішення щодо утворення, ліквідацію або реорганізацію  Центру як виконавчого органу Менської міської ради приймається Менською міською радою (далі – Рада).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Вибір місця розташування центру, його територіальних підрозділів та віддалених робочих місць адміністраторів здійснюється в межах території Менської міської територіальної громади з урахуванням територіальної доступності.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3. Центр у своїй діяльності керується Конституцією та законами України, актами Президента України і Кабінету Міністрів України, рішеннями центральних та місцевих органів виконавчої влади, органів місцевого самоврядування, положенням про Центр.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4. Основні завдання Центру: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організація надання адміністративних послуг у найкоротший строк та за мінімальної кількості відвідувань суб’єктів звернень;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спрощення процедури отримання адміністративних послуг;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забезпечення інформування суб’єктів звернень про вимоги та порядок надання адміністративних послуг у Центрі.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4) проведення моніторингу якості надання адміністративних послуг відповідно до </w:t>
      </w:r>
      <w:hyperlink r:id="rId14" w:tooltip="https://zakon.rada.gov.ua/laws/show/5203-17#n347" w:anchor="n347" w:history="1">
        <w:r>
          <w:rPr>
            <w:rStyle w:val="852"/>
            <w:color w:val="000000" w:themeColor="text1"/>
            <w:sz w:val="28"/>
            <w:szCs w:val="28"/>
            <w:u w:val="none"/>
          </w:rPr>
          <w:t xml:space="preserve">частини четвертої</w:t>
        </w:r>
      </w:hyperlink>
      <w:r>
        <w:rPr>
          <w:color w:val="000000" w:themeColor="text1"/>
          <w:sz w:val="28"/>
          <w:szCs w:val="28"/>
        </w:rPr>
        <w:t xml:space="preserve"> статті 7 Закону України “Про адміністративні послуги”, визначення та вжиття заходів до підвищення рівня якості їх надання, оприлюднення інформації про результати моніторингу та вжиті заходи;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0" w:name="n107"/>
      <w:r/>
      <w:bookmarkStart w:id="1" w:name="n106"/>
      <w:r/>
      <w:bookmarkEnd w:id="0"/>
      <w:r/>
      <w:bookmarkEnd w:id="1"/>
      <w:r>
        <w:rPr>
          <w:color w:val="000000" w:themeColor="text1"/>
          <w:sz w:val="28"/>
          <w:szCs w:val="28"/>
        </w:rPr>
        <w:t xml:space="preserve">5)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5. Центром забезпечується надання адміністративних послуг адміністратором, у тому числі шляхом його взаємодії із суб’єктами надання адміністративних послуг.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На підставі узгоджених рішень Ради та суб’єкта надання адміністративних послуг окремі адміністративні послуги </w:t>
      </w:r>
      <w:r>
        <w:rPr>
          <w:color w:val="000000" w:themeColor="text1"/>
          <w:sz w:val="28"/>
          <w:szCs w:val="28"/>
        </w:rPr>
        <w:t xml:space="preserve">можуть надаватися через Центр посадовими особами такого суб’єкта. Зазначені послуги надаються виключно у разі, коли вони не можуть бути надані у центрі адміністратором або їх надання адміністратором є значно гіршим для інтересів суб’єктів звернення та/або </w:t>
      </w:r>
      <w:r>
        <w:rPr>
          <w:color w:val="000000" w:themeColor="text1"/>
          <w:sz w:val="28"/>
          <w:szCs w:val="28"/>
        </w:rPr>
        <w:t xml:space="preserve">публічних інтересів. В узгоджених рішеннях зазначаються обґрунтування їх прийняття.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2" w:name="n112"/>
      <w:r/>
      <w:bookmarkEnd w:id="2"/>
      <w:r>
        <w:rPr>
          <w:color w:val="000000" w:themeColor="text1"/>
          <w:sz w:val="28"/>
          <w:szCs w:val="28"/>
        </w:rPr>
        <w:t xml:space="preserve">Посадові особи суб’єктів надання адміністративних послуг зобов’язані дотримуватися вимог щодо часу прийому та інших вимог до організації роботи у центрі, встановлених органом, що прийняв рішення про утворення центру.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3" w:name="n113"/>
      <w:r/>
      <w:bookmarkEnd w:id="3"/>
      <w:r>
        <w:rPr>
          <w:color w:val="000000" w:themeColor="text1"/>
          <w:sz w:val="28"/>
          <w:szCs w:val="28"/>
        </w:rPr>
        <w:t xml:space="preserve">Перелік адміністративних послуг, які надаються через Центр, його віддалені (у тому числі пересувні) робочі місця адміністраторів, визначається Радою.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4" w:name="n114"/>
      <w:r/>
      <w:bookmarkEnd w:id="4"/>
      <w:r>
        <w:rPr>
          <w:color w:val="000000" w:themeColor="text1"/>
          <w:sz w:val="28"/>
          <w:szCs w:val="28"/>
        </w:rPr>
        <w:t xml:space="preserve">Перелік адміністративних послуг, які надаються через центр, повинен обов’язково включати:</w:t>
      </w:r>
      <w:r/>
    </w:p>
    <w:p>
      <w:pPr>
        <w:pStyle w:val="871"/>
        <w:numPr>
          <w:ilvl w:val="0"/>
          <w:numId w:val="1"/>
        </w:numPr>
        <w:ind w:left="0" w:firstLine="0"/>
        <w:jc w:val="both"/>
        <w:spacing w:after="0" w:afterAutospacing="0" w:before="0" w:beforeAutospacing="0"/>
        <w:shd w:val="clear" w:fill="FFFFFF" w:color="auto"/>
        <w:tabs>
          <w:tab w:val="left" w:pos="567" w:leader="none"/>
        </w:tabs>
        <w:rPr>
          <w:color w:val="000000"/>
        </w:rPr>
        <w:suppressLineNumbers w:val="0"/>
      </w:pPr>
      <w:r/>
      <w:bookmarkStart w:id="5" w:name="n115"/>
      <w:r/>
      <w:bookmarkEnd w:id="5"/>
      <w:r>
        <w:rPr>
          <w:color w:val="000000" w:themeColor="text1"/>
          <w:sz w:val="28"/>
          <w:szCs w:val="28"/>
        </w:rPr>
        <w:t xml:space="preserve">адмініс</w:t>
      </w:r>
      <w:r>
        <w:rPr>
          <w:color w:val="000000" w:themeColor="text1"/>
          <w:sz w:val="28"/>
          <w:szCs w:val="28"/>
        </w:rPr>
        <w:t xml:space="preserve">тративні послуги, суб’єктом надання яких є Рада (її виконавчі органи або посадові особи);</w:t>
      </w:r>
      <w:r/>
    </w:p>
    <w:p>
      <w:pPr>
        <w:pStyle w:val="871"/>
        <w:numPr>
          <w:ilvl w:val="0"/>
          <w:numId w:val="1"/>
        </w:numPr>
        <w:ind w:left="0" w:firstLine="0"/>
        <w:jc w:val="both"/>
        <w:spacing w:after="0" w:afterAutospacing="0" w:before="0" w:beforeAutospacing="0"/>
        <w:shd w:val="clear" w:fill="FFFFFF" w:color="auto"/>
        <w:tabs>
          <w:tab w:val="left" w:pos="567" w:leader="none"/>
        </w:tabs>
        <w:rPr>
          <w:color w:val="000000"/>
        </w:rPr>
        <w:suppressLineNumbers w:val="0"/>
      </w:pPr>
      <w:r/>
      <w:bookmarkStart w:id="6" w:name="n116"/>
      <w:r/>
      <w:bookmarkEnd w:id="6"/>
      <w:r>
        <w:rPr>
          <w:color w:val="000000" w:themeColor="text1"/>
          <w:sz w:val="28"/>
          <w:szCs w:val="28"/>
        </w:rPr>
        <w:t xml:space="preserve">адміністративні послуги органів виконавчої влади та адміністративні послуги, що надаються органами місцевого самоврядування у порядку виконання делегованих повноважень, які є обов’язковими для надання через ц</w:t>
      </w:r>
      <w:r>
        <w:rPr>
          <w:color w:val="000000" w:themeColor="text1"/>
          <w:sz w:val="28"/>
          <w:szCs w:val="28"/>
        </w:rPr>
        <w:t xml:space="preserve">ентри, за переліком, визначеним відповідно до </w:t>
      </w:r>
      <w:hyperlink r:id="rId15" w:tooltip="https://zakon.rada.gov.ua/laws/show/5203-17#n141" w:anchor="n141" w:history="1">
        <w:r>
          <w:rPr>
            <w:rStyle w:val="852"/>
            <w:color w:val="000000" w:themeColor="text1"/>
            <w:sz w:val="28"/>
            <w:szCs w:val="28"/>
            <w:u w:val="none"/>
          </w:rPr>
          <w:t xml:space="preserve">частини сьомої</w:t>
        </w:r>
      </w:hyperlink>
      <w:r>
        <w:rPr>
          <w:color w:val="000000" w:themeColor="text1"/>
          <w:sz w:val="28"/>
          <w:szCs w:val="28"/>
        </w:rPr>
        <w:t xml:space="preserve"> статті 12 Закону України “Про адміністративні послуги”.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6. У Центрі, за рішенням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також може здійснюватися прийняття звітів, декларацій та скарг, надання консультацій, прийняття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видача документів, не пов’язаних з наданням адміністративних послуг, укладення договорів і угод представниками суб’єктів господарювання, які займають монопольне становище на відповідному ринку послуг, які мають соціальне значення для населення (водо-,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тепло-, газо-, електропостачання тощо), а також надання суб’єктам звернення можливості самостійно звернутися за отриманням адміністративних послуг, які надаються в електронній формі, за допомогою безоплатного використання ними місць для самообслуговування.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7. У приміщенні, де розміщується центр, можуть надаватися супутні послуги (виготовлення копій документів, ламінування, фотографування, продаж канцелярських товарів, надання банківських послуг тощо).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Добір суб’єктів господарюва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ння для надання супутніх послуг здійснюється Радою на конкурсній основі за критеріями забезпечення мінімізації матеріальних витрат та витрат часу суб’єкта звернення, а також з урахуванням вимог законодавства у сфері оренди державного та комунального майна.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Забороняється відносити до супутніх послуг над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ання консультацій та інформації, пов’язаних з наданням адміністративних послуг, продаж бланків заяв та інших документів, необхідних для звернення щодо надання адміністративних послуг, а також надання допомоги в їх заповненні, формуванні пакета документів. 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7</w:t>
      </w:r>
      <w:r>
        <w:rPr>
          <w:rStyle w:val="870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. У приміщенні, де розміщується центр, </w:t>
      </w:r>
      <w:r>
        <w:rPr>
          <w:color w:val="000000" w:themeColor="text1"/>
          <w:sz w:val="28"/>
          <w:szCs w:val="28"/>
        </w:rPr>
        <w:t xml:space="preserve">за рішенням Ради, проводяться соціальні, культурні, просвітницькі та інші заходи, спрямовані на задоволення потреб та інтересів міської територіальної громади, розвиток громадянського суспільства, якщо вони не перешкоджають наданню адміністративних послуг.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7" w:name="n118"/>
      <w:r/>
      <w:bookmarkEnd w:id="7"/>
      <w:r>
        <w:rPr>
          <w:color w:val="000000" w:themeColor="text1"/>
          <w:sz w:val="28"/>
          <w:szCs w:val="28"/>
        </w:rPr>
        <w:t xml:space="preserve">У центрі за рішенням Ради, може здійснюватися прийом суб’єктів звернення з надання безоплатної правової допомоги.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8. Центр облаштовується у місцях прийому суб’єктів звернень інформаційними стендами, інформаційними терміналами та/або іншими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засобами доведення інформації до суб’єктів звернення із зразками відповідних документів та інформацією в обсязі, достатньому для отримання адміністративної послуги без сторонньої допомоги.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За рішенням Ради можуть встанов</w:t>
      </w:r>
      <w:r>
        <w:rPr>
          <w:color w:val="000000" w:themeColor="text1"/>
          <w:sz w:val="28"/>
          <w:szCs w:val="28"/>
        </w:rPr>
        <w:t xml:space="preserve">люватись додаткові вимоги щодо обслуговування суб’єктів звернення, зокрема можливість надання суб’єктам звернення консультацій та інформації про хід розгляду їх заяв за допомогою засобів телекомунікації (телефону, електронної пошти, інших засобів зв’язку).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8" w:name="n79"/>
      <w:r/>
      <w:bookmarkEnd w:id="8"/>
      <w:r>
        <w:rPr>
          <w:color w:val="000000" w:themeColor="text1"/>
          <w:sz w:val="28"/>
          <w:szCs w:val="28"/>
        </w:rPr>
        <w:t xml:space="preserve">Встановлені вимоги щодо якості обслуговування суб’єктів звернення в Центрі не повинні погіршувати умов надання адміністративних послуг, визначених законом.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9. Суб’єкт звернення для отримання адміністративної послуги в Центрі звертається до адміністратора - посадової особи міської ради, яка надає адміністративні послуги або організовує їх надання.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9" w:name="n121"/>
      <w:r/>
      <w:bookmarkEnd w:id="9"/>
      <w:r>
        <w:rPr>
          <w:color w:val="000000" w:themeColor="text1"/>
          <w:sz w:val="28"/>
          <w:szCs w:val="28"/>
        </w:rPr>
        <w:t xml:space="preserve">За рішенням Ради, окремі завдання адміністратора, пов’язані з наданням адміністративних послуг, отриманням заяв та документів, </w:t>
      </w:r>
      <w:r>
        <w:rPr>
          <w:color w:val="000000" w:themeColor="text1"/>
          <w:sz w:val="28"/>
          <w:szCs w:val="28"/>
        </w:rPr>
        <w:t xml:space="preserve">видачею</w:t>
      </w:r>
      <w:r>
        <w:rPr>
          <w:color w:val="000000" w:themeColor="text1"/>
          <w:sz w:val="28"/>
          <w:szCs w:val="28"/>
        </w:rPr>
        <w:t xml:space="preserve"> результатів надання адміністративних послуг, може здійснювати староста.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/>
      <w:bookmarkStart w:id="10" w:name="n122"/>
      <w:r/>
      <w:bookmarkEnd w:id="10"/>
      <w:r>
        <w:rPr>
          <w:color w:val="000000" w:themeColor="text1"/>
          <w:sz w:val="28"/>
          <w:szCs w:val="28"/>
        </w:rPr>
        <w:t xml:space="preserve">З метою належної організації надання адміністрат</w:t>
      </w:r>
      <w:r>
        <w:rPr>
          <w:color w:val="000000" w:themeColor="text1"/>
          <w:sz w:val="28"/>
          <w:szCs w:val="28"/>
        </w:rPr>
        <w:t xml:space="preserve">ивних послуг через Центр адміністратори, староста та інші особи, на яких покладається виконання завдань адміністратора, беруть участь в навчанні, яке може проводитися за участю суб’єкта надання адміністративних послуг у випадках, визначених законодавством.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Керівник відділу, адміністратори, інші посадові особи відділу займаються розробленням </w:t>
      </w:r>
      <w:r>
        <w:rPr>
          <w:color w:val="000000" w:themeColor="text1"/>
          <w:sz w:val="28"/>
          <w:szCs w:val="28"/>
        </w:rPr>
        <w:t xml:space="preserve">проєктів</w:t>
      </w:r>
      <w:r>
        <w:rPr>
          <w:color w:val="000000" w:themeColor="text1"/>
          <w:sz w:val="28"/>
          <w:szCs w:val="28"/>
        </w:rPr>
        <w:t xml:space="preserve"> нормативно-правових актів, проводять експертизу </w:t>
      </w:r>
      <w:r>
        <w:rPr>
          <w:color w:val="000000" w:themeColor="text1"/>
          <w:sz w:val="28"/>
          <w:szCs w:val="28"/>
        </w:rPr>
        <w:t xml:space="preserve">проєктів</w:t>
      </w:r>
      <w:r>
        <w:rPr>
          <w:color w:val="000000" w:themeColor="text1"/>
          <w:sz w:val="28"/>
          <w:szCs w:val="28"/>
        </w:rPr>
        <w:t xml:space="preserve"> таких актів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реалізації повноважень наданих відділу.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10. Адміністратор призначається на посаду та звільняється з посади відповідно до законодавства про службу в органах місцевого самоврядування.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Кількість адміністраторів, які працюють у центрі, визначається Радою.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11. Адміністратор має іменну печатку (штамп) із зазначенням його прізвища, імені, по батькові та найменування Центру.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12. Основними завданнями адміністратора є: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надання суб’єктам звернень вичерпної інформації і консультацій щодо вимог та порядку надання адміністративних послуг;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прийняття від суб’єктів звернень документів, необхідних для надання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адміністративних послуг, здійснення їх реєстрації та подання документів (їх копій) відповідним суб’єктам надання адміністративних послуг не пізніше наступного робочого дня після їх отримання з дотриманням вимог Закону України «Про захист персональних даних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;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2</w:t>
      </w:r>
      <w:r>
        <w:rPr>
          <w:rStyle w:val="870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) складення у випадках, передбачених законодавством, а також на вимогу суб’єкта звернення заяв в електронній формі, їх друк і надання суб’єкту звернення для перевірки та підписання;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видача або забезпечення надсилання через засоби поштового зв’язку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4) організаційне забезпечення надання адміністративних послуг суб’єктами їх надання;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5) здійснення контролю за додержанням суб’єктами надання адміністративних послуг строку розгляду справ та прийняття рішень;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6) надання адміністративних послуг за рішенням Ради;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6</w:t>
      </w:r>
      <w:r>
        <w:rPr>
          <w:rStyle w:val="870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) надання адміністративних послуг в електронній формі з використанням Єдиного державного </w:t>
      </w:r>
      <w:r>
        <w:rPr>
          <w:color w:val="000000" w:themeColor="text1"/>
          <w:sz w:val="28"/>
          <w:szCs w:val="28"/>
        </w:rPr>
        <w:t xml:space="preserve">вебпорталу</w:t>
      </w:r>
      <w:r>
        <w:rPr>
          <w:color w:val="000000" w:themeColor="text1"/>
          <w:sz w:val="28"/>
          <w:szCs w:val="28"/>
        </w:rPr>
        <w:t xml:space="preserve"> електронних послуг;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7) складення протоколів про адміністративні правопорушення у випадках, передбачених законом;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8) розгляд справ про адміністративні правопорушення та накладення стягнень.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9) консультування суб’єктів звернення щодо отримання ними адміністративних послуг, що надаються в електронній формі, за допомогою безоплатного використання місць для самообслуговування.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13. Адміністратор має право: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безоплатно одержувати від суб’єкта надання адміністративних послуг, держа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вних органів, органів влади Автономної Республіки Крим, органів місцевого самоврядування, підприємств, установ або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суб’єкта звернення;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інформувати керівника центру та суб’єктів надання адміністративних послуг про порушення строку розгляду заяв про надання адміністративної послуги, вимагати вжиття заходів до усунення виявлених порушень;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4) посвідчувати власним підписом та печаткою (штампом) копії (фотокопії) документів і виписок з них, витягів з реєстрів та баз даних, які необхідні для надання адміністративної послуги;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5) порушувати клопотання перед начальником Центру щодо вжиття заходів з метою забезпечення ефективної роботи Центру.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14. Керівником Центру є начальник відділу, який призначається на посаду та звільняється з посади відповідно до законодавства  про службу в органах місцевого самоврядування.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15. Керівник Центру відповідно до завдань, покладених на Центр: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1) здійснює керівництво роботою центру, несе персональну відповідальність за організацію діяльності центру;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2) організовує діяльність центру, у тому числі щодо взаємодії із суб’єктами надання адміністративних послуг, вживає заходів до підвищення ефективності роботи центру;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3) координує діяльність адміністраторів, контролює якість та своєчасність виконання ними обов’язків;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4) організовує інформаційне забезпечення роботи центру, роботу із засобами масової інформації, визначає зміст та час проведення інформаційних заходів;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5) сприяє створенню належних умов праці у центрі, вносить пропозиції органу (посадовій особі), що утворив центр, щодо матеріально-технічного забезпечення центру;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5</w:t>
      </w:r>
      <w:r>
        <w:rPr>
          <w:rStyle w:val="870"/>
          <w:b/>
          <w:bCs/>
          <w:color w:val="000000" w:themeColor="text1"/>
          <w:sz w:val="28"/>
          <w:szCs w:val="28"/>
          <w:vertAlign w:val="superscript"/>
        </w:rPr>
        <w:t xml:space="preserve">-1</w:t>
      </w:r>
      <w:r>
        <w:rPr>
          <w:color w:val="000000" w:themeColor="text1"/>
          <w:sz w:val="28"/>
          <w:szCs w:val="28"/>
        </w:rPr>
        <w:t xml:space="preserve">) забезпечує визначення потреб у навчанні та навчання, у тому числі з використанням Національної веб-платформи центрів надання адміністративних послуг (Платформи Центрів Дія), адміністраторів, </w:t>
      </w:r>
      <w:r>
        <w:rPr>
          <w:color w:val="000000" w:themeColor="text1"/>
          <w:sz w:val="28"/>
          <w:szCs w:val="28"/>
        </w:rPr>
        <w:t xml:space="preserve">старост</w:t>
      </w:r>
      <w:r>
        <w:rPr>
          <w:color w:val="000000" w:themeColor="text1"/>
          <w:sz w:val="28"/>
          <w:szCs w:val="28"/>
        </w:rPr>
        <w:t xml:space="preserve"> та інших осіб, на яки</w:t>
      </w:r>
      <w:r>
        <w:rPr>
          <w:color w:val="000000" w:themeColor="text1"/>
          <w:sz w:val="28"/>
          <w:szCs w:val="28"/>
        </w:rPr>
        <w:t xml:space="preserve">х покладається виконання завдань адміністратора, зокрема до початку виконання (у тому числі тимчасово) посадових обов’язків адміністратора або після перерви у роботі понад три місяці, у разі зміни порядку надання послуг, запровадження надання нових послуг;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6) розглядає скарги на діяльність чи бездіяльність адміністраторів;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7) може здійснювати функції адміністратора;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8) виконує інші повноваження згідно з актами законодавства та положенням про Центр.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16.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17. З метою забезпечення створення зручних та доступних умов для отримання послуг суб’єктами звернень у м</w:t>
      </w:r>
      <w:r>
        <w:rPr>
          <w:color w:val="000000" w:themeColor="text1"/>
          <w:sz w:val="28"/>
          <w:szCs w:val="28"/>
        </w:rPr>
        <w:t xml:space="preserve">ежах відповідної території територіальної громади за рішенням Ради, можуть утворюватися віддалені (у тому числі пересувні) робочі місця адміністраторів Центру, в яких забезпечується надання адміністративних послуг відповідно до переліку, визначеного Радою.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/>
      <w:bookmarkStart w:id="11" w:name="n144"/>
      <w:r/>
      <w:bookmarkEnd w:id="11"/>
      <w:r>
        <w:rPr>
          <w:color w:val="000000" w:themeColor="text1"/>
          <w:sz w:val="28"/>
          <w:szCs w:val="28"/>
        </w:rPr>
        <w:t xml:space="preserve">Організаційне забезпечення діяльності віддалених (у тому числі пересувних) робочих місць адміністраторів здійснюється Центром.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18. Час прийому суб’єктів звернень є загальним (єдиним) для всіх адміністративних послуг, що надаються через Центр.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Час прийому суб’єктів звернень у Центрі становить не менш як шість днів на тиждень та сім годин на день.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У віддалених робочих місцях адміністраторів центру час прийому суб’єктів звернень визначається Радою.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При цьому прийом суб’єктів звернень у Центрі здійснюється без перерви на обід та не менш як один день на тиждень до 20-ї години.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19. Фінансування та матеріально-технічне забезпечення діяльності Центру здійснюється за рахунок державного бюджету та бюджету Менської міської територіальної громади.</w:t>
      </w:r>
      <w:r>
        <w:rPr>
          <w:color w:val="000000" w:themeColor="text1"/>
        </w:rPr>
        <w:t xml:space="preserve"> </w:t>
      </w:r>
      <w:r/>
    </w:p>
    <w:p>
      <w:pPr>
        <w:pStyle w:val="871"/>
        <w:ind w:firstLine="567"/>
        <w:jc w:val="both"/>
        <w:spacing w:after="0" w:afterAutospacing="0" w:before="0" w:beforeAutospacing="0"/>
        <w:shd w:val="clear" w:fill="FFFFFF" w:color="auto"/>
      </w:pPr>
      <w:r>
        <w:rPr>
          <w:color w:val="000000" w:themeColor="text1"/>
          <w:sz w:val="28"/>
          <w:szCs w:val="28"/>
        </w:rPr>
        <w:t xml:space="preserve">Центр звільняється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  <w:r/>
    </w:p>
    <w:p>
      <w:pPr>
        <w:pStyle w:val="871"/>
        <w:jc w:val="both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відділу «Центр надання 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адміністративних послуг»</w:t>
      </w:r>
      <w:r/>
    </w:p>
    <w:p>
      <w:pPr>
        <w:spacing w:lineRule="auto" w:line="240" w:after="0"/>
        <w:shd w:val="clear" w:fill="FFFFFF" w:color="auto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ab/>
        <w:t xml:space="preserve">Валерій РАЧКОВ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45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right"/>
      <w:tabs>
        <w:tab w:val="left" w:pos="3118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  <w:tab/>
    </w:r>
    <w:r>
      <w:rPr>
        <w:rFonts w:ascii="Times New Roman" w:hAnsi="Times New Roman" w:cs="Times New Roman" w:eastAsia="Times New Roman"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1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672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673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674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680">
    <w:name w:val="Title Char"/>
    <w:basedOn w:val="698"/>
    <w:link w:val="712"/>
    <w:uiPriority w:val="10"/>
    <w:rPr>
      <w:sz w:val="48"/>
      <w:szCs w:val="48"/>
    </w:rPr>
  </w:style>
  <w:style w:type="character" w:styleId="681">
    <w:name w:val="Subtitle Char"/>
    <w:basedOn w:val="698"/>
    <w:link w:val="714"/>
    <w:uiPriority w:val="11"/>
    <w:rPr>
      <w:sz w:val="24"/>
      <w:szCs w:val="24"/>
    </w:rPr>
  </w:style>
  <w:style w:type="character" w:styleId="682">
    <w:name w:val="Quote Char"/>
    <w:link w:val="716"/>
    <w:uiPriority w:val="29"/>
    <w:rPr>
      <w:i/>
    </w:rPr>
  </w:style>
  <w:style w:type="character" w:styleId="683">
    <w:name w:val="Intense Quote Char"/>
    <w:link w:val="718"/>
    <w:uiPriority w:val="30"/>
    <w:rPr>
      <w:i/>
    </w:rPr>
  </w:style>
  <w:style w:type="character" w:styleId="684">
    <w:name w:val="Header Char"/>
    <w:basedOn w:val="698"/>
    <w:link w:val="720"/>
    <w:uiPriority w:val="99"/>
  </w:style>
  <w:style w:type="character" w:styleId="685">
    <w:name w:val="Caption Char"/>
    <w:basedOn w:val="724"/>
    <w:link w:val="722"/>
    <w:uiPriority w:val="99"/>
  </w:style>
  <w:style w:type="character" w:styleId="686">
    <w:name w:val="Footnote Text Char"/>
    <w:link w:val="853"/>
    <w:uiPriority w:val="99"/>
    <w:rPr>
      <w:sz w:val="18"/>
    </w:rPr>
  </w:style>
  <w:style w:type="character" w:styleId="687">
    <w:name w:val="Endnote Text Char"/>
    <w:link w:val="856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688"/>
    <w:next w:val="688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0">
    <w:name w:val="Heading 2"/>
    <w:basedOn w:val="688"/>
    <w:next w:val="688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1">
    <w:name w:val="Heading 3"/>
    <w:basedOn w:val="688"/>
    <w:next w:val="688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2">
    <w:name w:val="Heading 4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3">
    <w:name w:val="Heading 5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4">
    <w:name w:val="Heading 6"/>
    <w:basedOn w:val="688"/>
    <w:next w:val="688"/>
    <w:link w:val="7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5">
    <w:name w:val="Heading 7"/>
    <w:basedOn w:val="688"/>
    <w:next w:val="688"/>
    <w:link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6">
    <w:name w:val="Heading 8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7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basedOn w:val="698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688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  <w:pPr>
      <w:spacing w:lineRule="auto" w:line="240" w:after="0"/>
    </w:pPr>
  </w:style>
  <w:style w:type="paragraph" w:styleId="712">
    <w:name w:val="Title"/>
    <w:basedOn w:val="688"/>
    <w:next w:val="688"/>
    <w:link w:val="71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3" w:customStyle="1">
    <w:name w:val="Назва Знак"/>
    <w:basedOn w:val="698"/>
    <w:link w:val="712"/>
    <w:uiPriority w:val="10"/>
    <w:rPr>
      <w:sz w:val="48"/>
      <w:szCs w:val="48"/>
    </w:rPr>
  </w:style>
  <w:style w:type="paragraph" w:styleId="714">
    <w:name w:val="Subtitle"/>
    <w:basedOn w:val="688"/>
    <w:next w:val="688"/>
    <w:link w:val="715"/>
    <w:qFormat/>
    <w:uiPriority w:val="11"/>
    <w:rPr>
      <w:sz w:val="24"/>
      <w:szCs w:val="24"/>
    </w:rPr>
    <w:pPr>
      <w:spacing w:before="200"/>
    </w:pPr>
  </w:style>
  <w:style w:type="character" w:styleId="715" w:customStyle="1">
    <w:name w:val="Підзаголовок Знак"/>
    <w:basedOn w:val="698"/>
    <w:link w:val="714"/>
    <w:uiPriority w:val="11"/>
    <w:rPr>
      <w:sz w:val="24"/>
      <w:szCs w:val="24"/>
    </w:rPr>
  </w:style>
  <w:style w:type="paragraph" w:styleId="716">
    <w:name w:val="Quote"/>
    <w:basedOn w:val="688"/>
    <w:next w:val="688"/>
    <w:link w:val="717"/>
    <w:qFormat/>
    <w:uiPriority w:val="29"/>
    <w:rPr>
      <w:i/>
    </w:rPr>
    <w:pPr>
      <w:ind w:left="720" w:right="720"/>
    </w:pPr>
  </w:style>
  <w:style w:type="character" w:styleId="717" w:customStyle="1">
    <w:name w:val="Цитата Знак"/>
    <w:link w:val="716"/>
    <w:uiPriority w:val="29"/>
    <w:rPr>
      <w:i/>
    </w:rPr>
  </w:style>
  <w:style w:type="paragraph" w:styleId="718">
    <w:name w:val="Intense Quote"/>
    <w:basedOn w:val="688"/>
    <w:next w:val="688"/>
    <w:link w:val="71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 w:customStyle="1">
    <w:name w:val="Насичена цитата Знак"/>
    <w:link w:val="718"/>
    <w:uiPriority w:val="30"/>
    <w:rPr>
      <w:i/>
    </w:rPr>
  </w:style>
  <w:style w:type="paragraph" w:styleId="720">
    <w:name w:val="Header"/>
    <w:basedOn w:val="688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 w:customStyle="1">
    <w:name w:val="Верхній колонтитул Знак"/>
    <w:basedOn w:val="698"/>
    <w:link w:val="720"/>
    <w:uiPriority w:val="99"/>
  </w:style>
  <w:style w:type="paragraph" w:styleId="722">
    <w:name w:val="Footer"/>
    <w:basedOn w:val="688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 w:customStyle="1">
    <w:name w:val="Footer Char"/>
    <w:basedOn w:val="698"/>
    <w:uiPriority w:val="99"/>
  </w:style>
  <w:style w:type="paragraph" w:styleId="724">
    <w:name w:val="Caption"/>
    <w:basedOn w:val="688"/>
    <w:next w:val="68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5" w:customStyle="1">
    <w:name w:val="Нижній колонтитул Знак"/>
    <w:link w:val="722"/>
    <w:uiPriority w:val="99"/>
  </w:style>
  <w:style w:type="table" w:styleId="726">
    <w:name w:val="Table Grid"/>
    <w:basedOn w:val="6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7" w:customStyle="1">
    <w:name w:val="Table Grid Light"/>
    <w:basedOn w:val="6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6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6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6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6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 &amp; Lined - Accent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Bordered &amp; Lined - Accent 1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0" w:customStyle="1">
    <w:name w:val="Bordered &amp; Lined - Accent 2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1" w:customStyle="1">
    <w:name w:val="Bordered &amp; Lined - Accent 3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2" w:customStyle="1">
    <w:name w:val="Bordered &amp; Lined - Accent 4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3" w:customStyle="1">
    <w:name w:val="Bordered &amp; Lined - Accent 5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4" w:customStyle="1">
    <w:name w:val="Bordered &amp; Lined - Accent 6"/>
    <w:basedOn w:val="6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5" w:customStyle="1">
    <w:name w:val="Bordered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6" w:customStyle="1">
    <w:name w:val="Bordered - Accent 1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7" w:customStyle="1">
    <w:name w:val="Bordered - Accent 2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8" w:customStyle="1">
    <w:name w:val="Bordered - Accent 3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9" w:customStyle="1">
    <w:name w:val="Bordered - Accent 4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0" w:customStyle="1">
    <w:name w:val="Bordered - Accent 5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1" w:customStyle="1">
    <w:name w:val="Bordered - Accent 6"/>
    <w:basedOn w:val="6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688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 w:customStyle="1">
    <w:name w:val="Текст виноски Знак"/>
    <w:link w:val="853"/>
    <w:uiPriority w:val="99"/>
    <w:rPr>
      <w:sz w:val="18"/>
    </w:rPr>
  </w:style>
  <w:style w:type="character" w:styleId="855">
    <w:name w:val="footnote reference"/>
    <w:basedOn w:val="698"/>
    <w:uiPriority w:val="99"/>
    <w:unhideWhenUsed/>
    <w:rPr>
      <w:vertAlign w:val="superscript"/>
    </w:rPr>
  </w:style>
  <w:style w:type="paragraph" w:styleId="856">
    <w:name w:val="endnote text"/>
    <w:basedOn w:val="688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 w:customStyle="1">
    <w:name w:val="Текст кінцевої виноски Знак"/>
    <w:link w:val="856"/>
    <w:uiPriority w:val="99"/>
    <w:rPr>
      <w:sz w:val="20"/>
    </w:rPr>
  </w:style>
  <w:style w:type="character" w:styleId="858">
    <w:name w:val="endnote reference"/>
    <w:basedOn w:val="698"/>
    <w:uiPriority w:val="99"/>
    <w:semiHidden/>
    <w:unhideWhenUsed/>
    <w:rPr>
      <w:vertAlign w:val="superscript"/>
    </w:rPr>
  </w:style>
  <w:style w:type="paragraph" w:styleId="859">
    <w:name w:val="toc 1"/>
    <w:basedOn w:val="688"/>
    <w:next w:val="688"/>
    <w:uiPriority w:val="39"/>
    <w:unhideWhenUsed/>
    <w:pPr>
      <w:spacing w:after="57"/>
    </w:pPr>
  </w:style>
  <w:style w:type="paragraph" w:styleId="860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61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62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63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64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65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66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7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88"/>
    <w:next w:val="688"/>
    <w:uiPriority w:val="99"/>
    <w:unhideWhenUsed/>
    <w:pPr>
      <w:spacing w:after="0"/>
    </w:pPr>
  </w:style>
  <w:style w:type="character" w:styleId="870" w:customStyle="1">
    <w:name w:val="rvts37"/>
  </w:style>
  <w:style w:type="paragraph" w:styleId="871" w:customStyle="1">
    <w:name w:val="rvps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hyperlink" Target="https://zakon.rada.gov.ua/laws/show/5203-17" TargetMode="External"/><Relationship Id="rId15" Type="http://schemas.openxmlformats.org/officeDocument/2006/relationships/hyperlink" Target="https://zakon.rada.gov.ua/laws/show/5203-1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2023-01-19T08:16:00Z</dcterms:created>
  <dcterms:modified xsi:type="dcterms:W3CDTF">2023-02-01T17:29:32Z</dcterms:modified>
</cp:coreProperties>
</file>