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27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3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</w:t>
      </w:r>
      <w:r>
        <w:rPr>
          <w:b/>
          <w:bCs/>
          <w:color w:val="000000"/>
          <w:sz w:val="28"/>
          <w:szCs w:val="28"/>
        </w:rPr>
        <w:t xml:space="preserve">оложення </w:t>
      </w:r>
      <w:r/>
      <w:r>
        <w:rPr>
          <w:b/>
          <w:bCs/>
          <w:color w:val="000000"/>
          <w:sz w:val="28"/>
          <w:szCs w:val="28"/>
        </w:rPr>
        <w:t xml:space="preserve">про відділ </w:t>
      </w:r>
      <w:r>
        <w:rPr>
          <w:b/>
          <w:bCs/>
          <w:color w:val="000000"/>
          <w:sz w:val="28"/>
          <w:szCs w:val="28"/>
        </w:rPr>
        <w:t xml:space="preserve">«Центр надання </w:t>
      </w:r>
      <w:r/>
      <w:r>
        <w:rPr>
          <w:b/>
          <w:bCs/>
          <w:color w:val="000000"/>
          <w:sz w:val="28"/>
          <w:szCs w:val="28"/>
        </w:rPr>
        <w:t xml:space="preserve">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  <w:r>
        <w:rPr>
          <w:b/>
          <w:bCs/>
          <w:color w:val="000000"/>
          <w:sz w:val="28"/>
          <w:szCs w:val="28"/>
        </w:rPr>
        <w:t xml:space="preserve">Менської міської ради</w:t>
      </w:r>
      <w:r/>
    </w:p>
    <w:p>
      <w:pPr>
        <w:pStyle w:val="883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Закону України “Про місцеве самоврядування в Україні,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та з метою забезпечення якісного надання адміністративних послуг через відділ «Центр надання адміністративних послуг» Менської міської ради,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зміни до Положення про відділ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Центр надання адміністративних послуг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Менської міської ради виклавши його в новій редакції згідно з додатком 1 до даного рішення (додається).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4</cp:revision>
  <dcterms:created xsi:type="dcterms:W3CDTF">2023-01-19T08:14:00Z</dcterms:created>
  <dcterms:modified xsi:type="dcterms:W3CDTF">2023-01-23T15:24:43Z</dcterms:modified>
</cp:coreProperties>
</file>