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Додаток </w:t>
      </w:r>
      <w:r/>
    </w:p>
    <w:p>
      <w:pPr>
        <w:ind w:left="5669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до рішення 2</w:t>
      </w:r>
      <w:r>
        <w:rPr>
          <w:bCs/>
          <w:color w:val="000000"/>
          <w:sz w:val="28"/>
          <w:szCs w:val="28"/>
        </w:rPr>
        <w:t xml:space="preserve">9</w:t>
      </w:r>
      <w:r>
        <w:rPr>
          <w:bCs/>
          <w:color w:val="000000"/>
          <w:sz w:val="28"/>
          <w:szCs w:val="28"/>
        </w:rPr>
        <w:t xml:space="preserve"> сесії Менської міської ради 8 скликання</w:t>
      </w:r>
      <w:r/>
    </w:p>
    <w:p>
      <w:pPr>
        <w:ind w:left="566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___ січня </w:t>
      </w:r>
      <w:r>
        <w:rPr>
          <w:bCs/>
          <w:color w:val="000000"/>
          <w:sz w:val="28"/>
          <w:szCs w:val="28"/>
        </w:rPr>
        <w:t xml:space="preserve"> 202</w:t>
      </w:r>
      <w:r>
        <w:rPr>
          <w:bCs/>
          <w:color w:val="000000"/>
          <w:sz w:val="28"/>
          <w:szCs w:val="28"/>
        </w:rPr>
        <w:t xml:space="preserve">3</w:t>
      </w:r>
      <w:r>
        <w:rPr>
          <w:bCs/>
          <w:color w:val="000000"/>
          <w:sz w:val="28"/>
          <w:szCs w:val="28"/>
        </w:rPr>
        <w:t xml:space="preserve"> року № ___</w:t>
      </w:r>
      <w:r/>
    </w:p>
    <w:p>
      <w:pPr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Звіт </w:t>
      </w:r>
      <w:r/>
    </w:p>
    <w:p>
      <w:pPr>
        <w:pStyle w:val="8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про стан виконання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Програми </w:t>
      </w:r>
      <w:r>
        <w:rPr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організації харчування дітей </w:t>
      </w:r>
      <w:r/>
    </w:p>
    <w:p>
      <w:pPr>
        <w:pStyle w:val="862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в закладах загальної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середньої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 освіти 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Менської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 міської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ради </w:t>
      </w:r>
      <w:r/>
    </w:p>
    <w:p>
      <w:pPr>
        <w:pStyle w:val="86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на 2022-2024 роки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за 2022 р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ік</w:t>
      </w:r>
      <w:r/>
    </w:p>
    <w:p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</w:r>
      <w:r/>
    </w:p>
    <w:p>
      <w:pPr>
        <w:pStyle w:val="862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 метою </w:t>
      </w:r>
      <w:r>
        <w:rPr>
          <w:rFonts w:ascii="Times New Roman" w:hAnsi="Times New Roman" w:eastAsia="Times New Roman"/>
          <w:sz w:val="28"/>
          <w:szCs w:val="28"/>
          <w:lang w:eastAsia="uk-UA"/>
        </w:rPr>
        <w:t xml:space="preserve">створення умов для збереження здоров’я дітей, підвищення рівня організації харчування, забезпечення учнів закладів загальної середньої освіти якісним харчуванням, впровадження нових технологій приготування їжі</w:t>
      </w:r>
      <w:r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протягом звітного періоду здійснювалося виконання основних завдань, визначених </w:t>
      </w:r>
      <w:r>
        <w:rPr>
          <w:rFonts w:ascii="Times New Roman" w:hAnsi="Times New Roman" w:eastAsia="Times New Roman"/>
          <w:b/>
          <w:bCs/>
          <w:color w:val="000000"/>
          <w:sz w:val="28"/>
          <w:szCs w:val="28"/>
          <w:lang w:eastAsia="uk-UA"/>
        </w:rPr>
        <w:t xml:space="preserve">Програмою </w:t>
      </w:r>
      <w:r>
        <w:rPr>
          <w:color w:val="000000"/>
          <w:sz w:val="28"/>
          <w:szCs w:val="28"/>
        </w:rPr>
        <w:t xml:space="preserve"> 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організації харчування дітей в закладах загальної середньої освіти Менської міської ради на 2022-2024 роки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затвердженої рішенням 15 сесії  Менської  міської ради 8 скликання від  09 грудня 2021 року № 819 (зі змінами)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</w:t>
      </w:r>
      <w:r/>
    </w:p>
    <w:p>
      <w:pPr>
        <w:pStyle w:val="864"/>
        <w:ind w:firstLine="450"/>
        <w:jc w:val="both"/>
        <w:spacing w:after="0" w:afterAutospacing="0" w:before="0" w:beforeAutospacing="0"/>
        <w:shd w:val="clear" w:fill="FFFFFF" w:color="auto"/>
      </w:pPr>
      <w:r>
        <w:rPr>
          <w:sz w:val="28"/>
          <w:szCs w:val="28"/>
        </w:rPr>
        <w:t xml:space="preserve">Згідно </w:t>
      </w:r>
      <w:r>
        <w:rPr>
          <w:bCs/>
          <w:sz w:val="28"/>
          <w:szCs w:val="28"/>
        </w:rPr>
        <w:t xml:space="preserve">Програми </w:t>
      </w:r>
      <w:r>
        <w:rPr>
          <w:sz w:val="28"/>
          <w:szCs w:val="28"/>
        </w:rPr>
        <w:t xml:space="preserve"> організації харчування дітей в закладах загальної середньої освіти Менської міської ради на 2022-2024 роки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протягом 2022 року безоплатним гарячим харчуванням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за рахунок коштів місцевого бюджету, відповідно до встановленого в закладі освіти режиму (кратності) харчування, забезпечувалися учні закладів загальної середньої освіти</w:t>
      </w:r>
      <w:r>
        <w:rPr>
          <w:sz w:val="28"/>
          <w:szCs w:val="28"/>
        </w:rPr>
        <w:t xml:space="preserve"> з числа:</w:t>
      </w:r>
      <w:r>
        <w:t xml:space="preserve"> </w:t>
      </w:r>
      <w:r/>
    </w:p>
    <w:p>
      <w:pPr>
        <w:pStyle w:val="864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учнів 1-4 класів;</w:t>
      </w:r>
      <w:r/>
    </w:p>
    <w:p>
      <w:pPr>
        <w:pStyle w:val="864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дітей-сиріт;</w:t>
      </w:r>
      <w:r/>
    </w:p>
    <w:p>
      <w:pPr>
        <w:pStyle w:val="864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дітей, позбавлених батьківського піклування;</w:t>
      </w:r>
      <w:r/>
    </w:p>
    <w:p>
      <w:pPr>
        <w:pStyle w:val="864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дітей з особливими освітніми потребами, які навчаються у спеціальних та інклюзивних класах (групах);</w:t>
      </w:r>
      <w:r/>
    </w:p>
    <w:p>
      <w:pPr>
        <w:pStyle w:val="864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дітей із сімей, які отримують допомогу відповідно до </w:t>
      </w:r>
      <w:hyperlink r:id="rId13" w:tooltip="https://zakon.rada.gov.ua/laws/show/1768-14" w:history="1">
        <w:r>
          <w:rPr>
            <w:rStyle w:val="861"/>
            <w:rFonts w:eastAsia="Arial"/>
            <w:color w:val="auto"/>
            <w:sz w:val="28"/>
            <w:szCs w:val="28"/>
            <w:u w:val="none"/>
          </w:rPr>
          <w:t xml:space="preserve">Закону України</w:t>
        </w:r>
      </w:hyperlink>
      <w:r>
        <w:rPr>
          <w:sz w:val="28"/>
          <w:szCs w:val="28"/>
        </w:rPr>
        <w:t xml:space="preserve"> </w:t>
      </w:r>
      <w:r>
        <w:rPr>
          <w:sz w:val="28"/>
          <w:szCs w:val="28"/>
        </w:rPr>
        <w:t xml:space="preserve">«Про державну соціальну допомогу малозабезпеченим сім’ям»;</w:t>
      </w:r>
      <w:r/>
    </w:p>
    <w:p>
      <w:pPr>
        <w:pStyle w:val="864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учнів закладів освіти, розташованих на територіях радіоактивного забруднення, а</w:t>
      </w:r>
      <w:r>
        <w:rPr>
          <w:sz w:val="28"/>
          <w:szCs w:val="28"/>
        </w:rPr>
        <w:t xml:space="preserve"> також дітей, евакуйованих із зони відчуження, дітей, які є особами з інвалідністю внаслідок Чорнобильської катастрофи, і тих, що проживали у зоні безумовного (обов’язкового) відселення з моменту аварії до прийняття постанови про відселення, відповідно до </w:t>
      </w:r>
      <w:hyperlink r:id="rId14" w:tooltip="https://zakon.rada.gov.ua/laws/show/796-12" w:history="1">
        <w:r>
          <w:rPr>
            <w:rStyle w:val="861"/>
            <w:rFonts w:eastAsia="Arial"/>
            <w:color w:val="auto"/>
            <w:sz w:val="28"/>
            <w:szCs w:val="28"/>
            <w:u w:val="none"/>
          </w:rPr>
          <w:t xml:space="preserve">Закону України</w:t>
        </w:r>
      </w:hyperlink>
      <w:r>
        <w:rPr>
          <w:sz w:val="28"/>
          <w:szCs w:val="28"/>
        </w:rPr>
        <w:t xml:space="preserve"> «Про статус і соціальний захист громадян, які постраждали внаслідок Чорнобильської катастрофи»;</w:t>
      </w:r>
      <w:r/>
    </w:p>
    <w:p>
      <w:pPr>
        <w:pStyle w:val="864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дітей з числа внутрішньо переміщених осіб, діти, які мають статус дитини, яка постраждала внаслідок воєнних дій і збройних конфліктів;</w:t>
      </w:r>
      <w:r/>
    </w:p>
    <w:p>
      <w:pPr>
        <w:pStyle w:val="864"/>
        <w:ind w:firstLine="450"/>
        <w:jc w:val="both"/>
        <w:spacing w:after="0" w:afterAutospacing="0" w:before="0" w:beforeAutospacing="0"/>
        <w:shd w:val="clear" w:fill="FFFFFF" w:color="auto"/>
        <w:rPr>
          <w:sz w:val="28"/>
          <w:szCs w:val="28"/>
        </w:rPr>
      </w:pPr>
      <w:r>
        <w:rPr>
          <w:sz w:val="28"/>
          <w:szCs w:val="28"/>
        </w:rPr>
        <w:t xml:space="preserve">дітей з числа осіб, визначених у</w:t>
      </w:r>
      <w:hyperlink r:id="rId15" w:tooltip="https://zakon.rada.gov.ua/laws/show/3551-12#n147" w:anchor="n147" w:history="1">
        <w:r>
          <w:rPr>
            <w:rStyle w:val="861"/>
            <w:rFonts w:eastAsia="Arial"/>
            <w:color w:val="auto"/>
            <w:sz w:val="28"/>
            <w:szCs w:val="28"/>
            <w:u w:val="none"/>
          </w:rPr>
          <w:t xml:space="preserve"> статті 10 </w:t>
        </w:r>
      </w:hyperlink>
      <w:r>
        <w:rPr>
          <w:sz w:val="28"/>
          <w:szCs w:val="28"/>
        </w:rPr>
        <w:t xml:space="preserve">Закону України «Про статус ветеранів війни, гарантії їх соціального захисту»</w:t>
      </w:r>
      <w:r>
        <w:rPr>
          <w:sz w:val="28"/>
          <w:szCs w:val="28"/>
        </w:rPr>
        <w:t xml:space="preserve">;</w:t>
      </w:r>
      <w:r/>
    </w:p>
    <w:p>
      <w:pPr>
        <w:pStyle w:val="863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дітей учасників бойових дій – АТО та ООС;</w:t>
      </w:r>
      <w:r/>
    </w:p>
    <w:p>
      <w:pPr>
        <w:pStyle w:val="863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дітей, один з батьків яких загинув (пропав безвісти), помер під час захисту незалежності та суверенітету України</w:t>
      </w:r>
      <w:r/>
    </w:p>
    <w:p>
      <w:pPr>
        <w:pStyle w:val="863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 w:eastAsia="Batang"/>
          <w:sz w:val="28"/>
          <w:szCs w:val="28"/>
          <w:lang w:eastAsia="ru-RU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дітей з інвалідністю;</w:t>
      </w:r>
      <w:r/>
    </w:p>
    <w:p>
      <w:pPr>
        <w:pStyle w:val="863"/>
        <w:ind w:left="0" w:right="-141"/>
        <w:jc w:val="both"/>
        <w:spacing w:lineRule="auto" w:line="240" w:after="0"/>
        <w:tabs>
          <w:tab w:val="left" w:pos="425" w:leader="none"/>
        </w:tabs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 w:eastAsia="Batang"/>
          <w:sz w:val="28"/>
          <w:szCs w:val="28"/>
          <w:lang w:eastAsia="ru-RU"/>
        </w:rPr>
        <w:tab/>
        <w:t xml:space="preserve">у виняткових випадках (в разі, якщо сім’я опинилась в складних життєвих обставинах або батьки неспромо</w:t>
      </w:r>
      <w:r>
        <w:rPr>
          <w:rFonts w:ascii="Times New Roman" w:hAnsi="Times New Roman"/>
          <w:sz w:val="28"/>
          <w:szCs w:val="28"/>
          <w:lang w:eastAsia="uk-UA"/>
        </w:rPr>
        <w:t xml:space="preserve">жні з поважних причин сплачувати за харчування дітей та інших випадках) за погодженням виконавчого комітету Менської міської ради (при наявності підтверджуючих документів, заяви одного з батьків та за пропозицією відділу освіти Менської міської ради).</w:t>
      </w:r>
      <w:r/>
    </w:p>
    <w:p>
      <w:pPr>
        <w:ind w:right="-141" w:firstLine="567"/>
        <w:jc w:val="both"/>
        <w:rPr>
          <w:color w:val="000000"/>
        </w:rPr>
      </w:pPr>
      <w:r>
        <w:rPr>
          <w:rStyle w:val="865"/>
          <w:sz w:val="28"/>
          <w:szCs w:val="28"/>
        </w:rPr>
        <w:t xml:space="preserve">Також, згідно рішення 19 сесії </w:t>
      </w:r>
      <w:r>
        <w:rPr>
          <w:sz w:val="28"/>
          <w:szCs w:val="28"/>
        </w:rPr>
        <w:t xml:space="preserve">Менської  міської ради 8 скликання від 27 травня 2022 року № 153  «</w:t>
      </w:r>
      <w:r>
        <w:rPr>
          <w:rFonts w:eastAsia="Batang"/>
          <w:bCs/>
          <w:iCs/>
          <w:sz w:val="28"/>
          <w:szCs w:val="28"/>
          <w:lang w:eastAsia="ru-RU"/>
        </w:rPr>
        <w:t xml:space="preserve">Про забезпечення  харчуванням здобувачів освіти, </w:t>
      </w:r>
      <w:r>
        <w:rPr>
          <w:color w:val="000000"/>
          <w:sz w:val="28"/>
          <w:szCs w:val="28"/>
        </w:rPr>
        <w:t xml:space="preserve">евакуйованих з окупованих територій та територій активних бойових дій», </w:t>
      </w:r>
      <w:r>
        <w:rPr>
          <w:sz w:val="28"/>
          <w:szCs w:val="28"/>
        </w:rPr>
        <w:t xml:space="preserve">безоплатним гарячим харчуванням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  <w:shd w:val="clear" w:fill="FFFFFF" w:color="auto"/>
        </w:rPr>
        <w:t xml:space="preserve">за рахунок коштів місцевого бюджету забезпечувалися </w:t>
      </w:r>
      <w:r>
        <w:rPr>
          <w:color w:val="000000"/>
          <w:sz w:val="28"/>
          <w:szCs w:val="28"/>
        </w:rPr>
        <w:t xml:space="preserve">діти, які були евакуйовані з окупованих територій та територій активних бойових дій.  </w:t>
      </w:r>
      <w:r/>
    </w:p>
    <w:p>
      <w:pPr>
        <w:ind w:right="-141"/>
        <w:jc w:val="both"/>
        <w:tabs>
          <w:tab w:val="left" w:pos="426" w:leader="none"/>
          <w:tab w:val="left" w:pos="851" w:leader="none"/>
        </w:tabs>
        <w:rPr>
          <w:rStyle w:val="865"/>
          <w:sz w:val="28"/>
          <w:szCs w:val="28"/>
        </w:rPr>
      </w:pPr>
      <w:r>
        <w:rPr>
          <w:rStyle w:val="865"/>
          <w:sz w:val="28"/>
          <w:szCs w:val="28"/>
        </w:rPr>
        <w:tab/>
        <w:t xml:space="preserve">Гарячим харчуванням, з оплатою в розмірі 50% від вартості харчування, забезпечувалися діти з</w:t>
      </w:r>
      <w:r>
        <w:rPr>
          <w:sz w:val="28"/>
          <w:szCs w:val="28"/>
          <w:lang w:eastAsia="uk-UA"/>
        </w:rPr>
        <w:t xml:space="preserve"> сімей, в яких троє і більше дітей.</w:t>
      </w:r>
      <w:r>
        <w:rPr>
          <w:rStyle w:val="865"/>
          <w:sz w:val="28"/>
          <w:szCs w:val="28"/>
        </w:rPr>
        <w:t xml:space="preserve"> </w:t>
      </w:r>
      <w:r/>
    </w:p>
    <w:p>
      <w:pPr>
        <w:ind w:right="-141"/>
        <w:jc w:val="both"/>
        <w:tabs>
          <w:tab w:val="left" w:pos="426" w:leader="none"/>
          <w:tab w:val="left" w:pos="851" w:leader="none"/>
        </w:tabs>
        <w:rPr>
          <w:rStyle w:val="865"/>
          <w:sz w:val="28"/>
          <w:szCs w:val="28"/>
        </w:rPr>
      </w:pPr>
      <w:r>
        <w:rPr>
          <w:rStyle w:val="865"/>
          <w:sz w:val="28"/>
          <w:szCs w:val="28"/>
        </w:rPr>
        <w:t xml:space="preserve">Станом на </w:t>
      </w:r>
      <w:r>
        <w:rPr>
          <w:rStyle w:val="865"/>
          <w:sz w:val="28"/>
          <w:szCs w:val="28"/>
        </w:rPr>
        <w:t xml:space="preserve">31.12</w:t>
      </w:r>
      <w:r>
        <w:rPr>
          <w:rStyle w:val="865"/>
          <w:sz w:val="28"/>
          <w:szCs w:val="28"/>
        </w:rPr>
        <w:t xml:space="preserve">.2022 року кількість здобувачів освіти</w:t>
      </w:r>
      <w:r>
        <w:rPr>
          <w:rStyle w:val="865"/>
          <w:sz w:val="28"/>
          <w:szCs w:val="28"/>
        </w:rPr>
        <w:t xml:space="preserve">,</w:t>
      </w:r>
      <w:r>
        <w:rPr>
          <w:rStyle w:val="865"/>
          <w:sz w:val="28"/>
          <w:szCs w:val="28"/>
        </w:rPr>
        <w:t xml:space="preserve"> які </w:t>
      </w:r>
      <w:r>
        <w:rPr>
          <w:rStyle w:val="865"/>
          <w:sz w:val="28"/>
          <w:szCs w:val="28"/>
        </w:rPr>
        <w:t xml:space="preserve">були охоплені безоплатним харчуванням у закладах загальної середньої освіти</w:t>
      </w:r>
      <w:r>
        <w:rPr>
          <w:rStyle w:val="865"/>
          <w:sz w:val="28"/>
          <w:szCs w:val="28"/>
        </w:rPr>
        <w:t xml:space="preserve">, становить: </w:t>
      </w:r>
      <w:r>
        <w:rPr>
          <w:sz w:val="28"/>
          <w:szCs w:val="28"/>
        </w:rPr>
        <w:t xml:space="preserve">учнів 1-4 класів</w:t>
      </w:r>
      <w:r>
        <w:rPr>
          <w:rStyle w:val="865"/>
          <w:sz w:val="28"/>
          <w:szCs w:val="28"/>
        </w:rPr>
        <w:t xml:space="preserve"> – 670, дітей-сиріт - 12,  </w:t>
      </w:r>
      <w:r>
        <w:rPr>
          <w:sz w:val="28"/>
          <w:szCs w:val="28"/>
        </w:rPr>
        <w:t xml:space="preserve">дітей, позбавлених батьківського піклування - 17, дітей з особливими освітніми потребами, які навчаються у спеціальних та інклюзивних класах - 7, дітей із сімей, які отримують допомогу відповідно до </w:t>
      </w:r>
      <w:hyperlink r:id="rId16" w:tooltip="https://zakon.rada.gov.ua/laws/show/1768-14" w:history="1">
        <w:r>
          <w:rPr>
            <w:rStyle w:val="861"/>
            <w:rFonts w:eastAsia="Arial"/>
            <w:color w:val="auto"/>
            <w:sz w:val="28"/>
            <w:szCs w:val="28"/>
            <w:u w:val="none"/>
          </w:rPr>
          <w:t xml:space="preserve">Закону України</w:t>
        </w:r>
      </w:hyperlink>
      <w:r>
        <w:rPr>
          <w:sz w:val="28"/>
          <w:szCs w:val="28"/>
        </w:rPr>
        <w:t xml:space="preserve"> «Про державну соціальну допомогу малозабезпеченим сім’ям» - 27, дітей з числа внутрішньо переміщених осіб, діти, які мають статус дитини, яка постраждала внаслідок воєнних дій і збройних конфліктів - 54, </w:t>
      </w:r>
      <w:r>
        <w:rPr>
          <w:rFonts w:eastAsia="Batang"/>
          <w:sz w:val="28"/>
          <w:szCs w:val="28"/>
          <w:lang w:eastAsia="ru-RU"/>
        </w:rPr>
        <w:t xml:space="preserve">дітей учасників бойових дій – АТО та ООС – 64, дітей, з сімей які опинилась в складних життєвих обставинах або батьки неспромо</w:t>
      </w:r>
      <w:r>
        <w:rPr>
          <w:sz w:val="28"/>
          <w:szCs w:val="28"/>
          <w:lang w:eastAsia="uk-UA"/>
        </w:rPr>
        <w:t xml:space="preserve">жні з поважних причин сплачувати за харчування дітей та інших випадках за погодженням виконавчого комітету Менської міської ради - 4</w:t>
      </w:r>
      <w:r>
        <w:rPr>
          <w:rFonts w:eastAsia="Batang"/>
          <w:sz w:val="28"/>
          <w:szCs w:val="28"/>
          <w:lang w:eastAsia="ru-RU"/>
        </w:rPr>
        <w:t xml:space="preserve">. </w:t>
      </w:r>
      <w:r>
        <w:rPr>
          <w:sz w:val="28"/>
        </w:rPr>
        <w:t xml:space="preserve">Загальна кількість здобувачів освіти охоплених гарячим харчуванням в школах Менської громади станом на 31.12.2022 року становить 1241 учнів.</w:t>
      </w:r>
      <w:r/>
    </w:p>
    <w:p>
      <w:pPr>
        <w:ind w:right="49" w:firstLine="567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lang w:eastAsia="uk-UA"/>
        </w:rPr>
        <w:t xml:space="preserve">Програмою </w:t>
      </w:r>
      <w:r>
        <w:rPr>
          <w:color w:val="000000"/>
          <w:sz w:val="28"/>
          <w:szCs w:val="28"/>
        </w:rPr>
        <w:t xml:space="preserve"> організації  харчування дітей в закладах загальної середньої освіти Менської міської ради на 2022-2024 роки на 2022 рік передбачалося: </w:t>
      </w:r>
      <w:r>
        <w:rPr>
          <w:sz w:val="28"/>
          <w:szCs w:val="28"/>
        </w:rPr>
        <w:t xml:space="preserve">загальний орієнтовний обсяг фінансових ресурсів, необхідних для реалізації програми, всього </w:t>
      </w:r>
      <w:r>
        <w:rPr>
          <w:sz w:val="28"/>
          <w:szCs w:val="28"/>
        </w:rPr>
        <w:t xml:space="preserve">–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3 512 934,02</w:t>
      </w:r>
      <w:r>
        <w:rPr>
          <w:b/>
          <w:sz w:val="28"/>
          <w:szCs w:val="28"/>
        </w:rPr>
        <w:t xml:space="preserve"> грн,  </w:t>
      </w:r>
      <w:r>
        <w:rPr>
          <w:sz w:val="28"/>
          <w:szCs w:val="28"/>
        </w:rPr>
        <w:t xml:space="preserve">у тому числі: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кошти бюджету Менської міської ТГ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2 308 192,00</w:t>
      </w:r>
      <w:r>
        <w:rPr>
          <w:b/>
          <w:sz w:val="28"/>
          <w:szCs w:val="28"/>
        </w:rPr>
        <w:t xml:space="preserve"> грн, </w:t>
      </w:r>
      <w:r>
        <w:rPr>
          <w:color w:val="000000"/>
          <w:sz w:val="28"/>
          <w:szCs w:val="28"/>
        </w:rPr>
        <w:t xml:space="preserve">кошти спеціального фонду </w:t>
      </w:r>
      <w:r>
        <w:rPr>
          <w:color w:val="000000"/>
          <w:sz w:val="28"/>
          <w:szCs w:val="28"/>
        </w:rPr>
        <w:t xml:space="preserve">–</w:t>
      </w:r>
      <w:r>
        <w:rPr>
          <w:color w:val="00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1 204 742,02</w:t>
      </w:r>
      <w:r>
        <w:rPr>
          <w:b/>
          <w:sz w:val="28"/>
          <w:szCs w:val="28"/>
        </w:rPr>
        <w:t xml:space="preserve"> грн.  </w:t>
      </w:r>
      <w:r>
        <w:rPr>
          <w:sz w:val="28"/>
          <w:szCs w:val="28"/>
        </w:rPr>
        <w:t xml:space="preserve">Станом на </w:t>
      </w:r>
      <w:r>
        <w:rPr>
          <w:sz w:val="28"/>
          <w:szCs w:val="28"/>
        </w:rPr>
        <w:t xml:space="preserve">31.12</w:t>
      </w:r>
      <w:r>
        <w:rPr>
          <w:sz w:val="28"/>
          <w:szCs w:val="28"/>
        </w:rPr>
        <w:t xml:space="preserve">.2022 рік виконано: загальний обсяг всього – </w:t>
      </w:r>
      <w:r>
        <w:rPr>
          <w:b/>
          <w:sz w:val="28"/>
          <w:szCs w:val="28"/>
        </w:rPr>
        <w:t xml:space="preserve">1 440 634</w:t>
      </w:r>
      <w:r>
        <w:rPr>
          <w:b/>
          <w:sz w:val="28"/>
          <w:szCs w:val="28"/>
        </w:rPr>
        <w:t xml:space="preserve"> грн,  </w:t>
      </w:r>
      <w:r>
        <w:rPr>
          <w:sz w:val="28"/>
          <w:szCs w:val="28"/>
        </w:rPr>
        <w:t xml:space="preserve">у тому числі:</w:t>
      </w:r>
      <w:r>
        <w:rPr>
          <w:b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кошти бюджету Менської міської ТГ – </w:t>
      </w:r>
      <w:r>
        <w:rPr>
          <w:b/>
          <w:sz w:val="28"/>
          <w:szCs w:val="28"/>
        </w:rPr>
        <w:t xml:space="preserve">1 163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07</w:t>
      </w:r>
      <w:r>
        <w:rPr>
          <w:b/>
          <w:sz w:val="28"/>
          <w:szCs w:val="28"/>
        </w:rPr>
        <w:t xml:space="preserve">1,82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грн, </w:t>
      </w:r>
      <w:r>
        <w:rPr>
          <w:color w:val="000000"/>
          <w:sz w:val="28"/>
          <w:szCs w:val="28"/>
        </w:rPr>
        <w:t xml:space="preserve">кошти спеціального фонду – </w:t>
      </w:r>
      <w:r>
        <w:rPr>
          <w:b/>
          <w:sz w:val="28"/>
          <w:szCs w:val="28"/>
        </w:rPr>
        <w:t xml:space="preserve">277</w:t>
      </w:r>
      <w:r>
        <w:rPr>
          <w:b/>
          <w:sz w:val="28"/>
          <w:szCs w:val="28"/>
        </w:rPr>
        <w:t xml:space="preserve"> </w:t>
      </w:r>
      <w:r>
        <w:rPr>
          <w:b/>
          <w:sz w:val="28"/>
          <w:szCs w:val="28"/>
        </w:rPr>
        <w:t xml:space="preserve">562</w:t>
      </w:r>
      <w:r>
        <w:rPr>
          <w:b/>
          <w:sz w:val="28"/>
          <w:szCs w:val="28"/>
        </w:rPr>
        <w:t xml:space="preserve">,39</w:t>
      </w:r>
      <w:bookmarkStart w:id="0" w:name="_GoBack"/>
      <w:r/>
      <w:bookmarkEnd w:id="0"/>
      <w:r>
        <w:rPr>
          <w:b/>
          <w:sz w:val="28"/>
          <w:szCs w:val="28"/>
        </w:rPr>
        <w:t xml:space="preserve"> грн.</w:t>
      </w:r>
      <w:r/>
    </w:p>
    <w:p>
      <w:pPr>
        <w:ind w:right="-141" w:firstLine="567"/>
        <w:jc w:val="both"/>
        <w:tabs>
          <w:tab w:val="left" w:pos="426" w:leader="none"/>
          <w:tab w:val="left" w:pos="851" w:leader="none"/>
        </w:tabs>
        <w:rPr>
          <w:rStyle w:val="865"/>
        </w:rPr>
      </w:pPr>
      <w:r/>
      <w:r/>
    </w:p>
    <w:p>
      <w:pPr>
        <w:pStyle w:val="862"/>
        <w:ind w:firstLine="567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</w:r>
      <w:r/>
    </w:p>
    <w:p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Відділу освіти</w:t>
      </w:r>
      <w:r/>
    </w:p>
    <w:p>
      <w:pPr>
        <w:jc w:val="both"/>
      </w:pPr>
      <w:r>
        <w:rPr>
          <w:color w:val="000000"/>
          <w:sz w:val="28"/>
          <w:szCs w:val="28"/>
        </w:rPr>
        <w:t xml:space="preserve">Менської міської ради                                                        Ірина ЛУК’ЯНЕНКО</w:t>
      </w:r>
      <w:r/>
    </w:p>
    <w:sectPr>
      <w:headerReference w:type="default" r:id="rId8"/>
      <w:headerReference w:type="first" r:id="rId9"/>
      <w:footerReference w:type="default" r:id="rId10"/>
      <w:footerReference w:type="first" r:id="rId11"/>
      <w:footnotePr/>
      <w:endnotePr/>
      <w:type w:val="nextPage"/>
      <w:pgSz w:w="12240" w:h="15840" w:orient="portrait"/>
      <w:pgMar w:top="1134" w:right="567" w:bottom="1134" w:left="1701" w:header="708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tang">
    <w:panose1 w:val="02020603020101020101"/>
  </w:font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  <w:jc w:val="right"/>
      <w:rPr>
        <w:sz w:val="24"/>
      </w:rPr>
    </w:pPr>
    <w:fldSimple w:instr="PAGE \* MERGEFORMAT">
      <w:r>
        <w:rPr>
          <w:sz w:val="24"/>
        </w:rPr>
        <w:t xml:space="preserve">1</w:t>
      </w:r>
    </w:fldSimple>
    <w:r>
      <w:rPr>
        <w:sz w:val="24"/>
      </w:rPr>
    </w:r>
    <w:r>
      <w:rPr>
        <w:sz w:val="24"/>
      </w:rPr>
      <w:t xml:space="preserve">                                                продовження додатка</w:t>
    </w:r>
    <w:r>
      <w:rPr>
        <w:sz w:val="24"/>
      </w:rPr>
    </w:r>
    <w:r/>
  </w:p>
  <w:p>
    <w:pPr>
      <w:pStyle w:val="708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08"/>
    </w:pPr>
    <w:r/>
    <w:r/>
  </w:p>
</w:hdr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82">
    <w:name w:val="Heading 1"/>
    <w:basedOn w:val="857"/>
    <w:next w:val="857"/>
    <w:link w:val="683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83">
    <w:name w:val="Heading 1 Char"/>
    <w:basedOn w:val="858"/>
    <w:link w:val="682"/>
    <w:uiPriority w:val="9"/>
    <w:rPr>
      <w:rFonts w:ascii="Arial" w:hAnsi="Arial" w:cs="Arial" w:eastAsia="Arial"/>
      <w:sz w:val="40"/>
      <w:szCs w:val="40"/>
    </w:rPr>
  </w:style>
  <w:style w:type="paragraph" w:styleId="684">
    <w:name w:val="Heading 2"/>
    <w:basedOn w:val="857"/>
    <w:next w:val="857"/>
    <w:link w:val="685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85">
    <w:name w:val="Heading 2 Char"/>
    <w:basedOn w:val="858"/>
    <w:link w:val="684"/>
    <w:uiPriority w:val="9"/>
    <w:rPr>
      <w:rFonts w:ascii="Arial" w:hAnsi="Arial" w:cs="Arial" w:eastAsia="Arial"/>
      <w:sz w:val="34"/>
    </w:rPr>
  </w:style>
  <w:style w:type="paragraph" w:styleId="686">
    <w:name w:val="Heading 3"/>
    <w:basedOn w:val="857"/>
    <w:next w:val="857"/>
    <w:link w:val="68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87">
    <w:name w:val="Heading 3 Char"/>
    <w:basedOn w:val="858"/>
    <w:link w:val="686"/>
    <w:uiPriority w:val="9"/>
    <w:rPr>
      <w:rFonts w:ascii="Arial" w:hAnsi="Arial" w:cs="Arial" w:eastAsia="Arial"/>
      <w:sz w:val="30"/>
      <w:szCs w:val="30"/>
    </w:rPr>
  </w:style>
  <w:style w:type="paragraph" w:styleId="688">
    <w:name w:val="Heading 4"/>
    <w:basedOn w:val="857"/>
    <w:next w:val="857"/>
    <w:link w:val="68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89">
    <w:name w:val="Heading 4 Char"/>
    <w:basedOn w:val="858"/>
    <w:link w:val="688"/>
    <w:uiPriority w:val="9"/>
    <w:rPr>
      <w:rFonts w:ascii="Arial" w:hAnsi="Arial" w:cs="Arial" w:eastAsia="Arial"/>
      <w:b/>
      <w:bCs/>
      <w:sz w:val="26"/>
      <w:szCs w:val="26"/>
    </w:rPr>
  </w:style>
  <w:style w:type="paragraph" w:styleId="690">
    <w:name w:val="Heading 5"/>
    <w:basedOn w:val="857"/>
    <w:next w:val="857"/>
    <w:link w:val="69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1">
    <w:name w:val="Heading 5 Char"/>
    <w:basedOn w:val="858"/>
    <w:link w:val="690"/>
    <w:uiPriority w:val="9"/>
    <w:rPr>
      <w:rFonts w:ascii="Arial" w:hAnsi="Arial" w:cs="Arial" w:eastAsia="Arial"/>
      <w:b/>
      <w:bCs/>
      <w:sz w:val="24"/>
      <w:szCs w:val="24"/>
    </w:rPr>
  </w:style>
  <w:style w:type="paragraph" w:styleId="692">
    <w:name w:val="Heading 6"/>
    <w:basedOn w:val="857"/>
    <w:next w:val="857"/>
    <w:link w:val="693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93">
    <w:name w:val="Heading 6 Char"/>
    <w:basedOn w:val="858"/>
    <w:link w:val="692"/>
    <w:uiPriority w:val="9"/>
    <w:rPr>
      <w:rFonts w:ascii="Arial" w:hAnsi="Arial" w:cs="Arial" w:eastAsia="Arial"/>
      <w:b/>
      <w:bCs/>
      <w:sz w:val="22"/>
      <w:szCs w:val="22"/>
    </w:rPr>
  </w:style>
  <w:style w:type="paragraph" w:styleId="694">
    <w:name w:val="Heading 7"/>
    <w:basedOn w:val="857"/>
    <w:next w:val="857"/>
    <w:link w:val="695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5">
    <w:name w:val="Heading 7 Char"/>
    <w:basedOn w:val="858"/>
    <w:link w:val="694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6">
    <w:name w:val="Heading 8"/>
    <w:basedOn w:val="857"/>
    <w:next w:val="857"/>
    <w:link w:val="697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97">
    <w:name w:val="Heading 8 Char"/>
    <w:basedOn w:val="858"/>
    <w:link w:val="696"/>
    <w:uiPriority w:val="9"/>
    <w:rPr>
      <w:rFonts w:ascii="Arial" w:hAnsi="Arial" w:cs="Arial" w:eastAsia="Arial"/>
      <w:i/>
      <w:iCs/>
      <w:sz w:val="22"/>
      <w:szCs w:val="22"/>
    </w:rPr>
  </w:style>
  <w:style w:type="paragraph" w:styleId="698">
    <w:name w:val="Heading 9"/>
    <w:basedOn w:val="857"/>
    <w:next w:val="857"/>
    <w:link w:val="69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99">
    <w:name w:val="Heading 9 Char"/>
    <w:basedOn w:val="858"/>
    <w:link w:val="698"/>
    <w:uiPriority w:val="9"/>
    <w:rPr>
      <w:rFonts w:ascii="Arial" w:hAnsi="Arial" w:cs="Arial" w:eastAsia="Arial"/>
      <w:i/>
      <w:iCs/>
      <w:sz w:val="21"/>
      <w:szCs w:val="21"/>
    </w:rPr>
  </w:style>
  <w:style w:type="paragraph" w:styleId="700">
    <w:name w:val="Title"/>
    <w:basedOn w:val="857"/>
    <w:next w:val="857"/>
    <w:link w:val="70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01">
    <w:name w:val="Title Char"/>
    <w:basedOn w:val="858"/>
    <w:link w:val="700"/>
    <w:uiPriority w:val="10"/>
    <w:rPr>
      <w:sz w:val="48"/>
      <w:szCs w:val="48"/>
    </w:rPr>
  </w:style>
  <w:style w:type="paragraph" w:styleId="702">
    <w:name w:val="Subtitle"/>
    <w:basedOn w:val="857"/>
    <w:next w:val="857"/>
    <w:link w:val="703"/>
    <w:qFormat/>
    <w:uiPriority w:val="11"/>
    <w:rPr>
      <w:sz w:val="24"/>
      <w:szCs w:val="24"/>
    </w:rPr>
    <w:pPr>
      <w:spacing w:after="200" w:before="200"/>
    </w:pPr>
  </w:style>
  <w:style w:type="character" w:styleId="703">
    <w:name w:val="Subtitle Char"/>
    <w:basedOn w:val="858"/>
    <w:link w:val="702"/>
    <w:uiPriority w:val="11"/>
    <w:rPr>
      <w:sz w:val="24"/>
      <w:szCs w:val="24"/>
    </w:rPr>
  </w:style>
  <w:style w:type="paragraph" w:styleId="704">
    <w:name w:val="Quote"/>
    <w:basedOn w:val="857"/>
    <w:next w:val="857"/>
    <w:link w:val="705"/>
    <w:qFormat/>
    <w:uiPriority w:val="29"/>
    <w:rPr>
      <w:i/>
    </w:rPr>
    <w:pPr>
      <w:ind w:left="720" w:right="720"/>
    </w:pPr>
  </w:style>
  <w:style w:type="character" w:styleId="705">
    <w:name w:val="Quote Char"/>
    <w:link w:val="704"/>
    <w:uiPriority w:val="29"/>
    <w:rPr>
      <w:i/>
    </w:rPr>
  </w:style>
  <w:style w:type="paragraph" w:styleId="706">
    <w:name w:val="Intense Quote"/>
    <w:basedOn w:val="857"/>
    <w:next w:val="857"/>
    <w:link w:val="70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07">
    <w:name w:val="Intense Quote Char"/>
    <w:link w:val="706"/>
    <w:uiPriority w:val="30"/>
    <w:rPr>
      <w:i/>
    </w:rPr>
  </w:style>
  <w:style w:type="paragraph" w:styleId="708">
    <w:name w:val="Header"/>
    <w:basedOn w:val="857"/>
    <w:link w:val="70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09">
    <w:name w:val="Header Char"/>
    <w:basedOn w:val="858"/>
    <w:link w:val="708"/>
    <w:uiPriority w:val="99"/>
  </w:style>
  <w:style w:type="paragraph" w:styleId="710">
    <w:name w:val="Footer"/>
    <w:basedOn w:val="857"/>
    <w:link w:val="71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1">
    <w:name w:val="Footer Char"/>
    <w:basedOn w:val="858"/>
    <w:link w:val="710"/>
    <w:uiPriority w:val="99"/>
  </w:style>
  <w:style w:type="paragraph" w:styleId="712">
    <w:name w:val="Caption"/>
    <w:basedOn w:val="857"/>
    <w:next w:val="857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3">
    <w:name w:val="Caption Char"/>
    <w:basedOn w:val="712"/>
    <w:link w:val="710"/>
    <w:uiPriority w:val="99"/>
  </w:style>
  <w:style w:type="table" w:styleId="714">
    <w:name w:val="Table Grid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5">
    <w:name w:val="Table Grid Light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6">
    <w:name w:val="Plain Table 1"/>
    <w:basedOn w:val="85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7">
    <w:name w:val="Plain Table 2"/>
    <w:basedOn w:val="85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18">
    <w:name w:val="Plain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19">
    <w:name w:val="Plain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0">
    <w:name w:val="Plain Table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1">
    <w:name w:val="Grid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2">
    <w:name w:val="Grid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Grid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4">
    <w:name w:val="Grid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Grid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0">
    <w:name w:val="Grid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1">
    <w:name w:val="Grid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3">
    <w:name w:val="Grid Table 4 - Accent 1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4">
    <w:name w:val="Grid Table 4 - Accent 2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5">
    <w:name w:val="Grid Table 4 - Accent 3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6">
    <w:name w:val="Grid Table 4 - Accent 4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47">
    <w:name w:val="Grid Table 4 - Accent 5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48">
    <w:name w:val="Grid Table 4 - Accent 6"/>
    <w:basedOn w:val="85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49">
    <w:name w:val="Grid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0">
    <w:name w:val="Grid Table 5 Dark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1">
    <w:name w:val="Grid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2">
    <w:name w:val="Grid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6">
    <w:name w:val="Grid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57">
    <w:name w:val="Grid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58">
    <w:name w:val="Grid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59">
    <w:name w:val="Grid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0">
    <w:name w:val="Grid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1">
    <w:name w:val="Grid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2">
    <w:name w:val="Grid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3">
    <w:name w:val="Grid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4">
    <w:name w:val="Grid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5">
    <w:name w:val="Grid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6">
    <w:name w:val="Grid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List Table 1 Light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List Table 1 Light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List Table 1 Light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78">
    <w:name w:val="List Table 2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79">
    <w:name w:val="List Table 2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0">
    <w:name w:val="List Table 2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1">
    <w:name w:val="List Table 2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2">
    <w:name w:val="List Table 2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3">
    <w:name w:val="List Table 2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4">
    <w:name w:val="List Table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5">
    <w:name w:val="List Table 3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6">
    <w:name w:val="List Table 3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7">
    <w:name w:val="List Table 3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4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4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5 Dark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99">
    <w:name w:val="List Table 5 Dark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0">
    <w:name w:val="List Table 5 Dark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1">
    <w:name w:val="List Table 5 Dark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6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6">
    <w:name w:val="List Table 6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07">
    <w:name w:val="List Table 6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08">
    <w:name w:val="List Table 6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09">
    <w:name w:val="List Table 6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0">
    <w:name w:val="List Table 6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1">
    <w:name w:val="List Table 6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2">
    <w:name w:val="List Table 7 Colorful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3">
    <w:name w:val="List Table 7 Colorful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814">
    <w:name w:val="List Table 7 Colorful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815">
    <w:name w:val="List Table 7 Colorful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816">
    <w:name w:val="List Table 7 Colorful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817">
    <w:name w:val="List Table 7 Colorful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18">
    <w:name w:val="List Table 7 Colorful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19">
    <w:name w:val="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0">
    <w:name w:val="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1">
    <w:name w:val="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2">
    <w:name w:val="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3">
    <w:name w:val="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4">
    <w:name w:val="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5">
    <w:name w:val="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6">
    <w:name w:val="Bordered &amp; Lined - Accent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7">
    <w:name w:val="Bordered &amp; Lined - Accent 1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8">
    <w:name w:val="Bordered &amp; Lined - Accent 2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9">
    <w:name w:val="Bordered &amp; Lined - Accent 3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0">
    <w:name w:val="Bordered &amp; Lined - Accent 4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1">
    <w:name w:val="Bordered &amp; Lined - Accent 5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2">
    <w:name w:val="Bordered &amp; Lined - Accent 6"/>
    <w:basedOn w:val="85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3">
    <w:name w:val="Bordered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4">
    <w:name w:val="Bordered - Accent 1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5">
    <w:name w:val="Bordered - Accent 2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6">
    <w:name w:val="Bordered - Accent 3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37">
    <w:name w:val="Bordered - Accent 4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38">
    <w:name w:val="Bordered - Accent 5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39">
    <w:name w:val="Bordered - Accent 6"/>
    <w:basedOn w:val="85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paragraph" w:styleId="840">
    <w:name w:val="footnote text"/>
    <w:basedOn w:val="857"/>
    <w:link w:val="841"/>
    <w:uiPriority w:val="99"/>
    <w:semiHidden/>
    <w:unhideWhenUsed/>
    <w:rPr>
      <w:sz w:val="18"/>
    </w:rPr>
    <w:pPr>
      <w:spacing w:lineRule="auto" w:line="240" w:after="40"/>
    </w:pPr>
  </w:style>
  <w:style w:type="character" w:styleId="841">
    <w:name w:val="Footnote Text Char"/>
    <w:link w:val="840"/>
    <w:uiPriority w:val="99"/>
    <w:rPr>
      <w:sz w:val="18"/>
    </w:rPr>
  </w:style>
  <w:style w:type="character" w:styleId="842">
    <w:name w:val="footnote reference"/>
    <w:basedOn w:val="858"/>
    <w:uiPriority w:val="99"/>
    <w:unhideWhenUsed/>
    <w:rPr>
      <w:vertAlign w:val="superscript"/>
    </w:rPr>
  </w:style>
  <w:style w:type="paragraph" w:styleId="843">
    <w:name w:val="endnote text"/>
    <w:basedOn w:val="857"/>
    <w:link w:val="844"/>
    <w:uiPriority w:val="99"/>
    <w:semiHidden/>
    <w:unhideWhenUsed/>
    <w:rPr>
      <w:sz w:val="20"/>
    </w:rPr>
    <w:pPr>
      <w:spacing w:lineRule="auto" w:line="240" w:after="0"/>
    </w:pPr>
  </w:style>
  <w:style w:type="character" w:styleId="844">
    <w:name w:val="Endnote Text Char"/>
    <w:link w:val="843"/>
    <w:uiPriority w:val="99"/>
    <w:rPr>
      <w:sz w:val="20"/>
    </w:rPr>
  </w:style>
  <w:style w:type="character" w:styleId="845">
    <w:name w:val="endnote reference"/>
    <w:basedOn w:val="858"/>
    <w:uiPriority w:val="99"/>
    <w:semiHidden/>
    <w:unhideWhenUsed/>
    <w:rPr>
      <w:vertAlign w:val="superscript"/>
    </w:rPr>
  </w:style>
  <w:style w:type="paragraph" w:styleId="846">
    <w:name w:val="toc 1"/>
    <w:basedOn w:val="857"/>
    <w:next w:val="857"/>
    <w:uiPriority w:val="39"/>
    <w:unhideWhenUsed/>
    <w:pPr>
      <w:ind w:left="0" w:right="0" w:firstLine="0"/>
      <w:spacing w:after="57"/>
    </w:pPr>
  </w:style>
  <w:style w:type="paragraph" w:styleId="847">
    <w:name w:val="toc 2"/>
    <w:basedOn w:val="857"/>
    <w:next w:val="857"/>
    <w:uiPriority w:val="39"/>
    <w:unhideWhenUsed/>
    <w:pPr>
      <w:ind w:left="283" w:right="0" w:firstLine="0"/>
      <w:spacing w:after="57"/>
    </w:pPr>
  </w:style>
  <w:style w:type="paragraph" w:styleId="848">
    <w:name w:val="toc 3"/>
    <w:basedOn w:val="857"/>
    <w:next w:val="857"/>
    <w:uiPriority w:val="39"/>
    <w:unhideWhenUsed/>
    <w:pPr>
      <w:ind w:left="567" w:right="0" w:firstLine="0"/>
      <w:spacing w:after="57"/>
    </w:pPr>
  </w:style>
  <w:style w:type="paragraph" w:styleId="849">
    <w:name w:val="toc 4"/>
    <w:basedOn w:val="857"/>
    <w:next w:val="857"/>
    <w:uiPriority w:val="39"/>
    <w:unhideWhenUsed/>
    <w:pPr>
      <w:ind w:left="850" w:right="0" w:firstLine="0"/>
      <w:spacing w:after="57"/>
    </w:pPr>
  </w:style>
  <w:style w:type="paragraph" w:styleId="850">
    <w:name w:val="toc 5"/>
    <w:basedOn w:val="857"/>
    <w:next w:val="857"/>
    <w:uiPriority w:val="39"/>
    <w:unhideWhenUsed/>
    <w:pPr>
      <w:ind w:left="1134" w:right="0" w:firstLine="0"/>
      <w:spacing w:after="57"/>
    </w:pPr>
  </w:style>
  <w:style w:type="paragraph" w:styleId="851">
    <w:name w:val="toc 6"/>
    <w:basedOn w:val="857"/>
    <w:next w:val="857"/>
    <w:uiPriority w:val="39"/>
    <w:unhideWhenUsed/>
    <w:pPr>
      <w:ind w:left="1417" w:right="0" w:firstLine="0"/>
      <w:spacing w:after="57"/>
    </w:pPr>
  </w:style>
  <w:style w:type="paragraph" w:styleId="852">
    <w:name w:val="toc 7"/>
    <w:basedOn w:val="857"/>
    <w:next w:val="857"/>
    <w:uiPriority w:val="39"/>
    <w:unhideWhenUsed/>
    <w:pPr>
      <w:ind w:left="1701" w:right="0" w:firstLine="0"/>
      <w:spacing w:after="57"/>
    </w:pPr>
  </w:style>
  <w:style w:type="paragraph" w:styleId="853">
    <w:name w:val="toc 8"/>
    <w:basedOn w:val="857"/>
    <w:next w:val="857"/>
    <w:uiPriority w:val="39"/>
    <w:unhideWhenUsed/>
    <w:pPr>
      <w:ind w:left="1984" w:right="0" w:firstLine="0"/>
      <w:spacing w:after="57"/>
    </w:pPr>
  </w:style>
  <w:style w:type="paragraph" w:styleId="854">
    <w:name w:val="toc 9"/>
    <w:basedOn w:val="857"/>
    <w:next w:val="857"/>
    <w:uiPriority w:val="39"/>
    <w:unhideWhenUsed/>
    <w:pPr>
      <w:ind w:left="2268" w:right="0" w:firstLine="0"/>
      <w:spacing w:after="57"/>
    </w:pPr>
  </w:style>
  <w:style w:type="paragraph" w:styleId="855">
    <w:name w:val="TOC Heading"/>
    <w:uiPriority w:val="39"/>
    <w:unhideWhenUsed/>
  </w:style>
  <w:style w:type="paragraph" w:styleId="856">
    <w:name w:val="table of figures"/>
    <w:basedOn w:val="857"/>
    <w:next w:val="857"/>
    <w:uiPriority w:val="99"/>
    <w:unhideWhenUsed/>
    <w:pPr>
      <w:spacing w:after="0" w:afterAutospacing="0"/>
    </w:pPr>
  </w:style>
  <w:style w:type="paragraph" w:styleId="857" w:default="1">
    <w:name w:val="Normal"/>
    <w:qFormat/>
    <w:rPr>
      <w:rFonts w:ascii="Times New Roman" w:hAnsi="Times New Roman" w:cs="Times New Roman" w:eastAsia="Times New Roman"/>
      <w:sz w:val="20"/>
      <w:szCs w:val="20"/>
      <w:lang w:val="uk-UA" w:eastAsia="zh-CN"/>
    </w:rPr>
    <w:pPr>
      <w:spacing w:lineRule="auto" w:line="240" w:after="0"/>
    </w:pPr>
  </w:style>
  <w:style w:type="character" w:styleId="858" w:default="1">
    <w:name w:val="Default Paragraph Font"/>
    <w:uiPriority w:val="1"/>
    <w:semiHidden/>
    <w:unhideWhenUsed/>
  </w:style>
  <w:style w:type="table" w:styleId="8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60" w:default="1">
    <w:name w:val="No List"/>
    <w:uiPriority w:val="99"/>
    <w:semiHidden/>
    <w:unhideWhenUsed/>
  </w:style>
  <w:style w:type="character" w:styleId="861">
    <w:name w:val="Hyperlink"/>
    <w:uiPriority w:val="99"/>
    <w:semiHidden/>
    <w:unhideWhenUsed/>
    <w:rPr>
      <w:color w:val="0563C1" w:themeColor="hyperlink"/>
      <w:u w:val="single"/>
    </w:rPr>
  </w:style>
  <w:style w:type="paragraph" w:styleId="862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63">
    <w:name w:val="List Paragraph"/>
    <w:basedOn w:val="857"/>
    <w:qFormat/>
    <w:uiPriority w:val="34"/>
    <w:rPr>
      <w:rFonts w:ascii="Calibri" w:hAnsi="Calibri" w:eastAsia="Calibri"/>
      <w:sz w:val="22"/>
      <w:szCs w:val="22"/>
      <w:lang w:eastAsia="en-US"/>
    </w:rPr>
    <w:pPr>
      <w:contextualSpacing w:val="true"/>
      <w:ind w:left="720"/>
      <w:spacing w:lineRule="auto" w:line="254" w:after="160"/>
    </w:pPr>
  </w:style>
  <w:style w:type="paragraph" w:styleId="864" w:customStyle="1">
    <w:name w:val="rvps2"/>
    <w:basedOn w:val="857"/>
    <w:rPr>
      <w:sz w:val="24"/>
      <w:szCs w:val="24"/>
      <w:lang w:eastAsia="uk-UA"/>
    </w:rPr>
    <w:pPr>
      <w:spacing w:after="100" w:afterAutospacing="1" w:before="100" w:beforeAutospacing="1"/>
    </w:pPr>
  </w:style>
  <w:style w:type="character" w:styleId="865" w:customStyle="1">
    <w:name w:val="4247"/>
    <w:basedOn w:val="858"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eader" Target="header1.xml" /><Relationship Id="rId9" Type="http://schemas.openxmlformats.org/officeDocument/2006/relationships/header" Target="header2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customXml" Target="../customXml/item1.xml" /><Relationship Id="rId13" Type="http://schemas.openxmlformats.org/officeDocument/2006/relationships/hyperlink" Target="https://zakon.rada.gov.ua/laws/show/1768-14" TargetMode="External"/><Relationship Id="rId14" Type="http://schemas.openxmlformats.org/officeDocument/2006/relationships/hyperlink" Target="https://zakon.rada.gov.ua/laws/show/796-12" TargetMode="External"/><Relationship Id="rId15" Type="http://schemas.openxmlformats.org/officeDocument/2006/relationships/hyperlink" Target="https://zakon.rada.gov.ua/laws/show/3551-12" TargetMode="External"/><Relationship Id="rId16" Type="http://schemas.openxmlformats.org/officeDocument/2006/relationships/hyperlink" Target="https://zakon.rada.gov.ua/laws/show/1768-14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13</cp:revision>
  <dcterms:created xsi:type="dcterms:W3CDTF">2023-01-10T11:26:00Z</dcterms:created>
  <dcterms:modified xsi:type="dcterms:W3CDTF">2023-01-23T13:48:42Z</dcterms:modified>
</cp:coreProperties>
</file>