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дев’ята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27 січня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12 місяців 2022 ро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ab/>
        <w:t xml:space="preserve">Заслухавши інформацію начальника Відділу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Ірини Лук’яненко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місяців 2022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ст. 26, 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 місяців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інцевої ви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и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251F6DC-52A3-4C98-BE9C-665F8797D8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995A277-016C-4A9F-A263-2D7EE4B9EAD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1198329-ABA4-459E-946E-4C9B80860A7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6ABDA89-CE3A-49F8-A426-A02CB07725A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7</cp:revision>
  <dcterms:created xsi:type="dcterms:W3CDTF">2023-01-13T06:22:00Z</dcterms:created>
  <dcterms:modified xsi:type="dcterms:W3CDTF">2023-01-24T08:40:17Z</dcterms:modified>
</cp:coreProperties>
</file>