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jc w:val="center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610"/>
        <w:jc w:val="center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двадцять </w:t>
      </w:r>
      <w:r>
        <w:rPr>
          <w:b/>
          <w:bCs/>
          <w:sz w:val="28"/>
          <w:szCs w:val="28"/>
        </w:rPr>
        <w:t xml:space="preserve">сьомої</w:t>
      </w:r>
      <w:r>
        <w:rPr>
          <w:b/>
          <w:bCs/>
          <w:sz w:val="28"/>
          <w:szCs w:val="28"/>
        </w:rPr>
        <w:t xml:space="preserve"> сесії Менської міської ради восьмого скликання № 4</w:t>
      </w:r>
      <w:r>
        <w:rPr>
          <w:b/>
          <w:bCs/>
          <w:sz w:val="28"/>
          <w:szCs w:val="28"/>
        </w:rPr>
        <w:t xml:space="preserve">95</w:t>
      </w:r>
      <w:r>
        <w:rPr>
          <w:b/>
          <w:bCs/>
          <w:sz w:val="28"/>
          <w:szCs w:val="28"/>
        </w:rPr>
        <w:t xml:space="preserve"> від </w:t>
      </w:r>
      <w:r>
        <w:rPr>
          <w:b/>
          <w:bCs/>
          <w:sz w:val="28"/>
          <w:szCs w:val="28"/>
        </w:rPr>
        <w:t xml:space="preserve">21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грудня</w:t>
      </w:r>
      <w:r>
        <w:rPr>
          <w:b/>
          <w:bCs/>
          <w:sz w:val="28"/>
          <w:szCs w:val="28"/>
        </w:rPr>
        <w:t xml:space="preserve"> 2022 року «Про внесення змін до рішення 15 сесії Менської міської ради 8 скликання від 22 грудня 2021 року № 899 «Про бюджет Менської міської територіальної громади на 2022 рік»»</w:t>
      </w:r>
      <w:r/>
    </w:p>
    <w:p>
      <w:pPr>
        <w:pStyle w:val="610"/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899 «Про бюджет 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територіальної громади на 2022 рік» від 22.12.2021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611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загального фонду Менської міської ради по інших заходах громадського порядку </w:t>
      </w:r>
      <w:r>
        <w:rPr>
          <w:rFonts w:ascii="Times New Roman" w:hAnsi="Times New Roman" w:cs="Times New Roman"/>
          <w:sz w:val="28"/>
          <w:szCs w:val="28"/>
        </w:rPr>
        <w:t xml:space="preserve">та безпеки в частині фінансування програми «Підвищення обороноздатності та безпеки населених пунктів Менської міської територіальної громади в умовах воєнного стану на 2022 рік», а саме: 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1 199 6</w:t>
      </w:r>
      <w:r>
        <w:rPr>
          <w:rFonts w:ascii="Times New Roman" w:hAnsi="Times New Roman" w:cs="Times New Roman"/>
          <w:sz w:val="28"/>
          <w:szCs w:val="28"/>
        </w:rPr>
        <w:t xml:space="preserve">00,00 грн., </w:t>
      </w:r>
      <w:r>
        <w:rPr>
          <w:rFonts w:ascii="Times New Roman" w:hAnsi="Times New Roman" w:cs="Times New Roman"/>
          <w:sz w:val="28"/>
          <w:szCs w:val="28"/>
        </w:rPr>
        <w:t xml:space="preserve">за рахунок зменшення кошторисних призначень загального фонду по організації благоустрою населених пунктів для оплати за спожиту електроенергію на суму </w:t>
      </w:r>
      <w:r>
        <w:rPr>
          <w:rFonts w:ascii="Times New Roman" w:hAnsi="Times New Roman" w:cs="Times New Roman"/>
          <w:sz w:val="28"/>
          <w:szCs w:val="28"/>
        </w:rPr>
        <w:t xml:space="preserve">99 6</w:t>
      </w:r>
      <w:r>
        <w:rPr>
          <w:rFonts w:ascii="Times New Roman" w:hAnsi="Times New Roman" w:cs="Times New Roman"/>
          <w:sz w:val="28"/>
          <w:szCs w:val="28"/>
        </w:rPr>
        <w:t xml:space="preserve">00,00 грн. та зменшення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фонду </w:t>
      </w:r>
      <w:r>
        <w:rPr>
          <w:rFonts w:ascii="Times New Roman" w:hAnsi="Times New Roman" w:cs="Times New Roman"/>
          <w:sz w:val="28"/>
          <w:szCs w:val="28"/>
        </w:rPr>
        <w:t xml:space="preserve">на суму 1</w:t>
      </w:r>
      <w:r>
        <w:rPr>
          <w:rFonts w:ascii="Times New Roman" w:hAnsi="Times New Roman" w:cs="Times New Roman"/>
          <w:sz w:val="28"/>
          <w:szCs w:val="28"/>
        </w:rPr>
        <w:t xml:space="preserve"> 1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611"/>
        <w:ind w:left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0118230 КЕКВ 2210 +1</w:t>
      </w:r>
      <w:r>
        <w:rPr>
          <w:rFonts w:ascii="Times New Roman" w:hAnsi="Times New Roman" w:cs="Times New Roman"/>
          <w:sz w:val="28"/>
          <w:szCs w:val="28"/>
        </w:rPr>
        <w:t xml:space="preserve"> 199 6</w:t>
      </w:r>
      <w:r>
        <w:rPr>
          <w:rFonts w:ascii="Times New Roman" w:hAnsi="Times New Roman" w:cs="Times New Roman"/>
          <w:sz w:val="28"/>
          <w:szCs w:val="28"/>
        </w:rPr>
        <w:t xml:space="preserve">00,00 грн., КПКВК 0116030 КЕКВ 2273 -</w:t>
      </w:r>
      <w:r>
        <w:rPr>
          <w:rFonts w:ascii="Times New Roman" w:hAnsi="Times New Roman" w:cs="Times New Roman"/>
          <w:sz w:val="28"/>
          <w:szCs w:val="28"/>
        </w:rPr>
        <w:t xml:space="preserve">996</w:t>
      </w:r>
      <w:r>
        <w:rPr>
          <w:rFonts w:ascii="Times New Roman" w:hAnsi="Times New Roman" w:cs="Times New Roman"/>
          <w:sz w:val="28"/>
          <w:szCs w:val="28"/>
        </w:rPr>
        <w:t xml:space="preserve">00,00 грн.</w:t>
      </w:r>
      <w:r>
        <w:rPr>
          <w:rFonts w:ascii="Times New Roman" w:hAnsi="Times New Roman" w:cs="Times New Roman"/>
          <w:sz w:val="28"/>
          <w:szCs w:val="28"/>
        </w:rPr>
        <w:t xml:space="preserve">, КПКВК 3718700 КЕКВ 9000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1 100 000,00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11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загального фонду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апарату управління</w:t>
      </w:r>
      <w:r>
        <w:rPr>
          <w:rFonts w:ascii="Times New Roman" w:hAnsi="Times New Roman" w:cs="Times New Roman"/>
          <w:sz w:val="28"/>
          <w:szCs w:val="28"/>
        </w:rPr>
        <w:t xml:space="preserve"> для придбання предметів, матеріалів, обладнання та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21 0</w:t>
      </w:r>
      <w:r>
        <w:rPr>
          <w:rFonts w:ascii="Times New Roman" w:hAnsi="Times New Roman" w:cs="Times New Roman"/>
          <w:sz w:val="28"/>
          <w:szCs w:val="28"/>
        </w:rPr>
        <w:t xml:space="preserve">00,00 грн., за рахунок зменшення кошторисних призначень загального фонду по організації благоустрою населених пунктів для оплати за спожиту електроенергію на суму 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00,00 грн. </w:t>
      </w:r>
      <w:r/>
    </w:p>
    <w:p>
      <w:pPr>
        <w:pStyle w:val="611"/>
        <w:ind w:left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2273 -</w:t>
      </w:r>
      <w:r>
        <w:rPr>
          <w:rFonts w:ascii="Times New Roman" w:hAnsi="Times New Roman" w:cs="Times New Roman"/>
          <w:sz w:val="28"/>
          <w:szCs w:val="28"/>
        </w:rPr>
        <w:t xml:space="preserve">21 000</w:t>
      </w:r>
      <w:r>
        <w:rPr>
          <w:rFonts w:ascii="Times New Roman" w:hAnsi="Times New Roman" w:cs="Times New Roman"/>
          <w:sz w:val="28"/>
          <w:szCs w:val="28"/>
        </w:rPr>
        <w:t xml:space="preserve">,00 грн., КПКВК </w:t>
      </w:r>
      <w:r>
        <w:rPr>
          <w:rFonts w:ascii="Times New Roman" w:hAnsi="Times New Roman" w:cs="Times New Roman"/>
          <w:sz w:val="28"/>
          <w:szCs w:val="28"/>
        </w:rPr>
        <w:t xml:space="preserve">0110150 </w:t>
      </w:r>
      <w:r>
        <w:rPr>
          <w:rFonts w:ascii="Times New Roman" w:hAnsi="Times New Roman" w:cs="Times New Roman"/>
          <w:sz w:val="28"/>
          <w:szCs w:val="28"/>
        </w:rPr>
        <w:t xml:space="preserve">КЕКВ </w:t>
      </w:r>
      <w:r>
        <w:rPr>
          <w:rFonts w:ascii="Times New Roman" w:hAnsi="Times New Roman" w:cs="Times New Roman"/>
          <w:sz w:val="28"/>
          <w:szCs w:val="28"/>
        </w:rPr>
        <w:t xml:space="preserve">2210+2</w:t>
      </w:r>
      <w:r>
        <w:rPr>
          <w:rFonts w:ascii="Times New Roman" w:hAnsi="Times New Roman" w:cs="Times New Roman"/>
          <w:sz w:val="28"/>
          <w:szCs w:val="28"/>
        </w:rPr>
        <w:t xml:space="preserve">1 000,00 грн.).</w:t>
      </w:r>
      <w:r/>
    </w:p>
    <w:p>
      <w:pPr>
        <w:pStyle w:val="611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Внести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зміни до річного розпису загального фонду відділу освіти Менської міської ради, а саме: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по наданню дошкільної освіти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: зменшити річну суму кошторисних призначень в частині видатків на оплату предметів та матеріалів в сумі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155800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медикаменти та перев`язувальні матеріали в сумі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1945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оплату харчування в сумі 28513,00 грн.,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оплату послуг (крім комунальних)-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131600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на оплату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електроенергії в сумі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74000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</w:t>
      </w:r>
      <w:r>
        <w:rPr>
          <w:rFonts w:ascii="Times New Roman" w:hAnsi="Times New Roman"/>
          <w:sz w:val="28"/>
          <w:szCs w:val="28"/>
        </w:rPr>
        <w:t xml:space="preserve"> оплата </w:t>
      </w:r>
      <w:r>
        <w:rPr>
          <w:rFonts w:ascii="Times New Roman" w:hAnsi="Times New Roman"/>
          <w:sz w:val="28"/>
          <w:szCs w:val="28"/>
        </w:rPr>
        <w:t xml:space="preserve">газопостачання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175000</w:t>
      </w:r>
      <w:r>
        <w:rPr>
          <w:rFonts w:ascii="Times New Roman" w:hAnsi="Times New Roman"/>
          <w:sz w:val="28"/>
          <w:szCs w:val="28"/>
        </w:rPr>
        <w:t xml:space="preserve">,00 грн., оплата </w:t>
      </w:r>
      <w:r>
        <w:rPr>
          <w:rFonts w:ascii="Times New Roman" w:hAnsi="Times New Roman"/>
          <w:sz w:val="28"/>
          <w:szCs w:val="28"/>
        </w:rPr>
        <w:t xml:space="preserve">інших енергоносіїв в сумі 108640,</w:t>
      </w:r>
      <w:r>
        <w:rPr>
          <w:rFonts w:ascii="Times New Roman" w:hAnsi="Times New Roman"/>
          <w:sz w:val="28"/>
          <w:szCs w:val="28"/>
        </w:rPr>
        <w:t xml:space="preserve">00 грн., окремі заходи по реалізації державних (регіональних) програм, не віднесені до заходів розвитку-</w:t>
      </w:r>
      <w:r>
        <w:rPr>
          <w:rFonts w:ascii="Times New Roman" w:hAnsi="Times New Roman"/>
          <w:sz w:val="28"/>
          <w:szCs w:val="28"/>
        </w:rPr>
        <w:t xml:space="preserve">7506</w:t>
      </w:r>
      <w:r>
        <w:rPr>
          <w:rFonts w:ascii="Times New Roman" w:hAnsi="Times New Roman"/>
          <w:sz w:val="28"/>
          <w:szCs w:val="28"/>
        </w:rPr>
        <w:t xml:space="preserve">,00 грн., інші видатки-</w:t>
      </w:r>
      <w:r>
        <w:rPr>
          <w:rFonts w:ascii="Times New Roman" w:hAnsi="Times New Roman"/>
          <w:sz w:val="28"/>
          <w:szCs w:val="28"/>
        </w:rPr>
        <w:t xml:space="preserve">2900</w:t>
      </w:r>
      <w:r>
        <w:rPr>
          <w:rFonts w:ascii="Times New Roman" w:hAnsi="Times New Roman"/>
          <w:sz w:val="28"/>
          <w:szCs w:val="28"/>
        </w:rPr>
        <w:t xml:space="preserve">,00 грн;</w:t>
      </w:r>
      <w:r>
        <w:rPr>
          <w:rFonts w:ascii="Times New Roman" w:hAnsi="Times New Roman"/>
          <w:sz w:val="28"/>
          <w:szCs w:val="28"/>
        </w:rPr>
        <w:t xml:space="preserve"> збільшити кошторисні призначення </w:t>
      </w:r>
      <w:r>
        <w:rPr>
          <w:rFonts w:ascii="Times New Roman" w:hAnsi="Times New Roman"/>
          <w:sz w:val="28"/>
          <w:szCs w:val="28"/>
        </w:rPr>
        <w:t xml:space="preserve">в частині видатків </w:t>
      </w:r>
      <w:r>
        <w:rPr>
          <w:rFonts w:ascii="Times New Roman" w:hAnsi="Times New Roman"/>
          <w:sz w:val="28"/>
          <w:szCs w:val="28"/>
        </w:rPr>
        <w:t xml:space="preserve">на виплату заробітної плати в сумі </w:t>
      </w:r>
      <w:r>
        <w:rPr>
          <w:rFonts w:ascii="Times New Roman" w:hAnsi="Times New Roman"/>
          <w:sz w:val="28"/>
          <w:szCs w:val="28"/>
        </w:rPr>
        <w:t xml:space="preserve">553993</w:t>
      </w:r>
      <w:r>
        <w:rPr>
          <w:rFonts w:ascii="Times New Roman" w:hAnsi="Times New Roman"/>
          <w:sz w:val="28"/>
          <w:szCs w:val="28"/>
        </w:rPr>
        <w:t xml:space="preserve">,00 грн., нарахування на заробітну плату </w:t>
      </w:r>
      <w:r>
        <w:rPr>
          <w:rFonts w:ascii="Times New Roman" w:hAnsi="Times New Roman"/>
          <w:sz w:val="28"/>
          <w:szCs w:val="28"/>
        </w:rPr>
        <w:t xml:space="preserve">в сумі 131911,00 грн.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0611010 КЕКВ 2210-</w:t>
      </w:r>
      <w:r>
        <w:rPr>
          <w:rFonts w:ascii="Times New Roman" w:hAnsi="Times New Roman"/>
          <w:sz w:val="28"/>
          <w:szCs w:val="28"/>
        </w:rPr>
        <w:t xml:space="preserve">155800</w:t>
      </w:r>
      <w:r>
        <w:rPr>
          <w:rFonts w:ascii="Times New Roman" w:hAnsi="Times New Roman"/>
          <w:sz w:val="28"/>
          <w:szCs w:val="28"/>
        </w:rPr>
        <w:t xml:space="preserve">,00 грн., КЕКВ 2220-1</w:t>
      </w:r>
      <w:r>
        <w:rPr>
          <w:rFonts w:ascii="Times New Roman" w:hAnsi="Times New Roman"/>
          <w:sz w:val="28"/>
          <w:szCs w:val="28"/>
        </w:rPr>
        <w:t xml:space="preserve">945</w:t>
      </w:r>
      <w:r>
        <w:rPr>
          <w:rFonts w:ascii="Times New Roman" w:hAnsi="Times New Roman"/>
          <w:sz w:val="28"/>
          <w:szCs w:val="28"/>
        </w:rPr>
        <w:t xml:space="preserve">,00 грн., </w:t>
      </w:r>
      <w:r>
        <w:rPr>
          <w:rFonts w:ascii="Times New Roman" w:hAnsi="Times New Roman"/>
          <w:sz w:val="28"/>
          <w:szCs w:val="28"/>
        </w:rPr>
        <w:t xml:space="preserve">КЕКВ 2230-28513,00 грн., </w:t>
      </w:r>
      <w:r>
        <w:rPr>
          <w:rFonts w:ascii="Times New Roman" w:hAnsi="Times New Roman"/>
          <w:sz w:val="28"/>
          <w:szCs w:val="28"/>
        </w:rPr>
        <w:t xml:space="preserve">КЕКВ 2240-</w:t>
      </w:r>
      <w:r>
        <w:rPr>
          <w:rFonts w:ascii="Times New Roman" w:hAnsi="Times New Roman"/>
          <w:sz w:val="28"/>
          <w:szCs w:val="28"/>
        </w:rPr>
        <w:t xml:space="preserve">131600</w:t>
      </w:r>
      <w:r>
        <w:rPr>
          <w:rFonts w:ascii="Times New Roman" w:hAnsi="Times New Roman"/>
          <w:sz w:val="28"/>
          <w:szCs w:val="28"/>
        </w:rPr>
        <w:t xml:space="preserve">,00 грн., КЕКВ 22</w:t>
      </w:r>
      <w:r>
        <w:rPr>
          <w:rFonts w:ascii="Times New Roman" w:hAnsi="Times New Roman"/>
          <w:sz w:val="28"/>
          <w:szCs w:val="28"/>
        </w:rPr>
        <w:t xml:space="preserve">73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74000</w:t>
      </w:r>
      <w:r>
        <w:rPr>
          <w:rFonts w:ascii="Times New Roman" w:hAnsi="Times New Roman"/>
          <w:sz w:val="28"/>
          <w:szCs w:val="28"/>
        </w:rPr>
        <w:t xml:space="preserve">,00 грн., КЕКВ 227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-1</w:t>
      </w:r>
      <w:r>
        <w:rPr>
          <w:rFonts w:ascii="Times New Roman" w:hAnsi="Times New Roman"/>
          <w:sz w:val="28"/>
          <w:szCs w:val="28"/>
        </w:rPr>
        <w:t xml:space="preserve">7500</w:t>
      </w:r>
      <w:r>
        <w:rPr>
          <w:rFonts w:ascii="Times New Roman" w:hAnsi="Times New Roman"/>
          <w:sz w:val="28"/>
          <w:szCs w:val="28"/>
        </w:rPr>
        <w:t xml:space="preserve">0,00 грн., КЕКВ 227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108640</w:t>
      </w:r>
      <w:r>
        <w:rPr>
          <w:rFonts w:ascii="Times New Roman" w:hAnsi="Times New Roman"/>
          <w:sz w:val="28"/>
          <w:szCs w:val="28"/>
        </w:rPr>
        <w:t xml:space="preserve">,00 грн., КЕКВ 2282-</w:t>
      </w:r>
      <w:r>
        <w:rPr>
          <w:rFonts w:ascii="Times New Roman" w:hAnsi="Times New Roman"/>
          <w:sz w:val="28"/>
          <w:szCs w:val="28"/>
        </w:rPr>
        <w:t xml:space="preserve">7506</w:t>
      </w:r>
      <w:r>
        <w:rPr>
          <w:rFonts w:ascii="Times New Roman" w:hAnsi="Times New Roman"/>
          <w:sz w:val="28"/>
          <w:szCs w:val="28"/>
        </w:rPr>
        <w:t xml:space="preserve">,00 грн., КЕКВ 2800-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,00 грн.</w:t>
      </w:r>
      <w:r>
        <w:rPr>
          <w:rFonts w:ascii="Times New Roman" w:hAnsi="Times New Roman"/>
          <w:sz w:val="28"/>
          <w:szCs w:val="28"/>
        </w:rPr>
        <w:t xml:space="preserve">, КЕКВ 2110+553993,00 грн., КЕКВ 2120+131911,00 грн.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 наданню загальної середньої освіти закладами загальної середньої освіти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а оплат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предметів та матеріалів в сумі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8911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медикаменти та перев`язувальні матеріали в сумі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831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на оплату послуг (крім комунальних)-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58194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на оплату видатків на відрядження-400,00 грн.,</w:t>
      </w:r>
      <w:r>
        <w:rPr>
          <w:rFonts w:ascii="Times New Roman" w:hAnsi="Times New Roman"/>
          <w:sz w:val="28"/>
          <w:szCs w:val="28"/>
        </w:rPr>
        <w:t xml:space="preserve"> оплата електроенергії- </w:t>
      </w:r>
      <w:r>
        <w:rPr>
          <w:rFonts w:ascii="Times New Roman" w:hAnsi="Times New Roman"/>
          <w:sz w:val="28"/>
          <w:szCs w:val="28"/>
        </w:rPr>
        <w:t xml:space="preserve">26455,00</w:t>
      </w:r>
      <w:r>
        <w:rPr>
          <w:rFonts w:ascii="Times New Roman" w:hAnsi="Times New Roman"/>
          <w:sz w:val="28"/>
          <w:szCs w:val="28"/>
        </w:rPr>
        <w:t xml:space="preserve"> грн., інші енергоносії-11</w:t>
      </w:r>
      <w:r>
        <w:rPr>
          <w:rFonts w:ascii="Times New Roman" w:hAnsi="Times New Roman"/>
          <w:sz w:val="28"/>
          <w:szCs w:val="28"/>
        </w:rPr>
        <w:t xml:space="preserve">2546</w:t>
      </w:r>
      <w:r>
        <w:rPr>
          <w:rFonts w:ascii="Times New Roman" w:hAnsi="Times New Roman"/>
          <w:sz w:val="28"/>
          <w:szCs w:val="28"/>
        </w:rPr>
        <w:t xml:space="preserve">,00 грн.,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окремі заходи по реалізації державних (регіональних) програм, не віднесені до заходів розвитку-</w:t>
      </w:r>
      <w:r>
        <w:rPr>
          <w:rFonts w:ascii="Times New Roman" w:hAnsi="Times New Roman"/>
          <w:sz w:val="28"/>
          <w:szCs w:val="28"/>
        </w:rPr>
        <w:t xml:space="preserve">3430</w:t>
      </w:r>
      <w:r>
        <w:rPr>
          <w:rFonts w:ascii="Times New Roman" w:hAnsi="Times New Roman"/>
          <w:sz w:val="28"/>
          <w:szCs w:val="28"/>
        </w:rPr>
        <w:t xml:space="preserve">,00 грн., інші видатки-1</w:t>
      </w:r>
      <w:r>
        <w:rPr>
          <w:rFonts w:ascii="Times New Roman" w:hAnsi="Times New Roman"/>
          <w:sz w:val="28"/>
          <w:szCs w:val="28"/>
        </w:rPr>
        <w:t xml:space="preserve">6547</w:t>
      </w:r>
      <w:r>
        <w:rPr>
          <w:rFonts w:ascii="Times New Roman" w:hAnsi="Times New Roman"/>
          <w:sz w:val="28"/>
          <w:szCs w:val="28"/>
        </w:rPr>
        <w:t xml:space="preserve">,00 грн;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збільшити кошторисні призначення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видатків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оплату заробітної плати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182532,00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грн., </w:t>
      </w:r>
      <w:r>
        <w:rPr>
          <w:rFonts w:ascii="Times New Roman" w:hAnsi="Times New Roman"/>
          <w:sz w:val="28"/>
          <w:szCs w:val="28"/>
        </w:rPr>
        <w:t xml:space="preserve">нарахування на заробітну плату </w:t>
      </w:r>
      <w:r>
        <w:rPr>
          <w:rFonts w:ascii="Times New Roman" w:hAnsi="Times New Roman"/>
          <w:sz w:val="28"/>
          <w:szCs w:val="28"/>
        </w:rPr>
        <w:t xml:space="preserve">в сумі </w:t>
      </w:r>
      <w:r>
        <w:rPr>
          <w:rFonts w:ascii="Times New Roman" w:hAnsi="Times New Roman"/>
          <w:sz w:val="28"/>
          <w:szCs w:val="28"/>
        </w:rPr>
        <w:t xml:space="preserve">44782,00</w:t>
      </w:r>
      <w:r>
        <w:rPr>
          <w:rFonts w:ascii="Times New Roman" w:hAnsi="Times New Roman"/>
          <w:sz w:val="28"/>
          <w:szCs w:val="28"/>
        </w:rPr>
        <w:t xml:space="preserve"> грн.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0611021 КЕКВ 2210-</w:t>
      </w:r>
      <w:r>
        <w:rPr>
          <w:rFonts w:ascii="Times New Roman" w:hAnsi="Times New Roman"/>
          <w:sz w:val="28"/>
          <w:szCs w:val="28"/>
        </w:rPr>
        <w:t xml:space="preserve">8911</w:t>
      </w:r>
      <w:r>
        <w:rPr>
          <w:rFonts w:ascii="Times New Roman" w:hAnsi="Times New Roman"/>
          <w:sz w:val="28"/>
          <w:szCs w:val="28"/>
        </w:rPr>
        <w:t xml:space="preserve">,00 грн., КЕКВ 2220-</w:t>
      </w:r>
      <w:r>
        <w:rPr>
          <w:rFonts w:ascii="Times New Roman" w:hAnsi="Times New Roman"/>
          <w:sz w:val="28"/>
          <w:szCs w:val="28"/>
        </w:rPr>
        <w:t xml:space="preserve">831</w:t>
      </w:r>
      <w:r>
        <w:rPr>
          <w:rFonts w:ascii="Times New Roman" w:hAnsi="Times New Roman"/>
          <w:sz w:val="28"/>
          <w:szCs w:val="28"/>
        </w:rPr>
        <w:t xml:space="preserve">,00 грн., КЕКВ 2240-</w:t>
      </w:r>
      <w:r>
        <w:rPr>
          <w:rFonts w:ascii="Times New Roman" w:hAnsi="Times New Roman"/>
          <w:sz w:val="28"/>
          <w:szCs w:val="28"/>
        </w:rPr>
        <w:t xml:space="preserve">58194</w:t>
      </w:r>
      <w:r>
        <w:rPr>
          <w:rFonts w:ascii="Times New Roman" w:hAnsi="Times New Roman"/>
          <w:sz w:val="28"/>
          <w:szCs w:val="28"/>
        </w:rPr>
        <w:t xml:space="preserve">,00 грн., КЕКВ 2250-400,00 грн., КЕКВ 2273-</w:t>
      </w:r>
      <w:r>
        <w:rPr>
          <w:rFonts w:ascii="Times New Roman" w:hAnsi="Times New Roman"/>
          <w:sz w:val="28"/>
          <w:szCs w:val="28"/>
        </w:rPr>
        <w:t xml:space="preserve">26455,00</w:t>
      </w:r>
      <w:r>
        <w:rPr>
          <w:rFonts w:ascii="Times New Roman" w:hAnsi="Times New Roman"/>
          <w:sz w:val="28"/>
          <w:szCs w:val="28"/>
        </w:rPr>
        <w:t xml:space="preserve"> грн., КЕКВ 2275-11</w:t>
      </w:r>
      <w:r>
        <w:rPr>
          <w:rFonts w:ascii="Times New Roman" w:hAnsi="Times New Roman"/>
          <w:sz w:val="28"/>
          <w:szCs w:val="28"/>
        </w:rPr>
        <w:t xml:space="preserve">2546</w:t>
      </w:r>
      <w:r>
        <w:rPr>
          <w:rFonts w:ascii="Times New Roman" w:hAnsi="Times New Roman"/>
          <w:sz w:val="28"/>
          <w:szCs w:val="28"/>
        </w:rPr>
        <w:t xml:space="preserve">,00 грн., КЕКВ 2282-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0,00 грн., КЕКВ 2800-1</w:t>
      </w:r>
      <w:r>
        <w:rPr>
          <w:rFonts w:ascii="Times New Roman" w:hAnsi="Times New Roman"/>
          <w:sz w:val="28"/>
          <w:szCs w:val="28"/>
        </w:rPr>
        <w:t xml:space="preserve">6547</w:t>
      </w:r>
      <w:r>
        <w:rPr>
          <w:rFonts w:ascii="Times New Roman" w:hAnsi="Times New Roman"/>
          <w:sz w:val="28"/>
          <w:szCs w:val="28"/>
        </w:rPr>
        <w:t xml:space="preserve">,00 грн.</w:t>
      </w:r>
      <w:r>
        <w:rPr>
          <w:rFonts w:ascii="Times New Roman" w:hAnsi="Times New Roman"/>
          <w:sz w:val="28"/>
          <w:szCs w:val="28"/>
        </w:rPr>
        <w:t xml:space="preserve">, КЕКВ 2110+182532,00 грн., КЕКВ 2120+44782,00 грн.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 наданню позашкільної освіти закладами позашкільної освіти, заходи із позашкільної роботи з дітьми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саме: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оплату послуг (крім комунальних)-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2290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0,00 грн., </w:t>
      </w:r>
      <w:r>
        <w:rPr>
          <w:rFonts w:ascii="Times New Roman" w:hAnsi="Times New Roman"/>
          <w:sz w:val="28"/>
          <w:szCs w:val="28"/>
        </w:rPr>
        <w:t xml:space="preserve">інші видатки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1500</w:t>
      </w:r>
      <w:r>
        <w:rPr>
          <w:rFonts w:ascii="Times New Roman" w:hAnsi="Times New Roman"/>
          <w:sz w:val="28"/>
          <w:szCs w:val="28"/>
        </w:rPr>
        <w:t xml:space="preserve">,00 грн.;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збільшити кошторисні призначення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видатків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оплату заробітної плати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20000,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 грн., </w:t>
      </w:r>
      <w:r>
        <w:rPr>
          <w:rFonts w:ascii="Times New Roman" w:hAnsi="Times New Roman"/>
          <w:sz w:val="28"/>
          <w:szCs w:val="28"/>
        </w:rPr>
        <w:t xml:space="preserve">нарахування на заробітну плату </w:t>
      </w:r>
      <w:r>
        <w:rPr>
          <w:rFonts w:ascii="Times New Roman" w:hAnsi="Times New Roman"/>
          <w:sz w:val="28"/>
          <w:szCs w:val="28"/>
        </w:rPr>
        <w:t xml:space="preserve">в сумі 44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,00 грн.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0611070 КЕКВ 22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0-2</w:t>
      </w:r>
      <w:r>
        <w:rPr>
          <w:rFonts w:ascii="Times New Roman" w:hAnsi="Times New Roman"/>
          <w:sz w:val="28"/>
          <w:szCs w:val="28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00,00 грн., КЕКВ 2</w:t>
      </w:r>
      <w:r>
        <w:rPr>
          <w:rFonts w:ascii="Times New Roman" w:hAnsi="Times New Roman"/>
          <w:sz w:val="28"/>
          <w:szCs w:val="28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0-15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0,00 грн., КЕКВ 2</w:t>
      </w:r>
      <w:r>
        <w:rPr>
          <w:rFonts w:ascii="Times New Roman" w:hAnsi="Times New Roman"/>
          <w:sz w:val="28"/>
          <w:szCs w:val="28"/>
        </w:rPr>
        <w:t xml:space="preserve">110+20000,00 грн., КЕКВ 2120+4400,00 </w:t>
      </w:r>
      <w:r>
        <w:rPr>
          <w:rFonts w:ascii="Times New Roman" w:hAnsi="Times New Roman"/>
          <w:sz w:val="28"/>
          <w:szCs w:val="28"/>
        </w:rPr>
        <w:t xml:space="preserve">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 наданню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спеціалізованої освіти мистецькими школами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саме: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оплату послуг (крім комунальних)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3812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</w:t>
      </w:r>
      <w:r>
        <w:rPr>
          <w:rFonts w:ascii="Times New Roman" w:hAnsi="Times New Roman"/>
          <w:sz w:val="28"/>
          <w:szCs w:val="28"/>
        </w:rPr>
        <w:t xml:space="preserve">оплат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природного газу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2070</w:t>
      </w:r>
      <w:r>
        <w:rPr>
          <w:rFonts w:ascii="Times New Roman" w:hAnsi="Times New Roman"/>
          <w:sz w:val="28"/>
          <w:szCs w:val="28"/>
        </w:rPr>
        <w:t xml:space="preserve">,00 грн.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збільшити кошторисні призначення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видатків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оплату заробітної плати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3841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</w:t>
      </w:r>
      <w:r>
        <w:rPr>
          <w:rFonts w:ascii="Times New Roman" w:hAnsi="Times New Roman"/>
          <w:sz w:val="28"/>
          <w:szCs w:val="28"/>
        </w:rPr>
        <w:t xml:space="preserve">нарахування на заробітну плату </w:t>
      </w:r>
      <w:r>
        <w:rPr>
          <w:rFonts w:ascii="Times New Roman" w:hAnsi="Times New Roman"/>
          <w:sz w:val="28"/>
          <w:szCs w:val="28"/>
        </w:rPr>
        <w:t xml:space="preserve">в сумі </w:t>
      </w:r>
      <w:r>
        <w:rPr>
          <w:rFonts w:ascii="Times New Roman" w:hAnsi="Times New Roman"/>
          <w:sz w:val="28"/>
          <w:szCs w:val="28"/>
        </w:rPr>
        <w:t xml:space="preserve">2041</w:t>
      </w:r>
      <w:r>
        <w:rPr>
          <w:rFonts w:ascii="Times New Roman" w:hAnsi="Times New Roman"/>
          <w:sz w:val="28"/>
          <w:szCs w:val="28"/>
        </w:rPr>
        <w:t xml:space="preserve">,00 грн.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06110</w:t>
      </w:r>
      <w:r>
        <w:rPr>
          <w:rFonts w:ascii="Times New Roman" w:hAnsi="Times New Roman"/>
          <w:sz w:val="28"/>
          <w:szCs w:val="28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КЕКВ 22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0-</w:t>
      </w:r>
      <w:r>
        <w:rPr>
          <w:rFonts w:ascii="Times New Roman" w:hAnsi="Times New Roman"/>
          <w:sz w:val="28"/>
          <w:szCs w:val="28"/>
        </w:rPr>
        <w:t xml:space="preserve">3812</w:t>
      </w:r>
      <w:r>
        <w:rPr>
          <w:rFonts w:ascii="Times New Roman" w:hAnsi="Times New Roman"/>
          <w:sz w:val="28"/>
          <w:szCs w:val="28"/>
        </w:rPr>
        <w:t xml:space="preserve">,00 грн., КЕКВ 2274-</w:t>
      </w:r>
      <w:r>
        <w:rPr>
          <w:rFonts w:ascii="Times New Roman" w:hAnsi="Times New Roman"/>
          <w:sz w:val="28"/>
          <w:szCs w:val="28"/>
        </w:rPr>
        <w:t xml:space="preserve">207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,00 грн., КЕКВ 2</w:t>
      </w:r>
      <w:r>
        <w:rPr>
          <w:rFonts w:ascii="Times New Roman" w:hAnsi="Times New Roman"/>
          <w:sz w:val="28"/>
          <w:szCs w:val="28"/>
        </w:rPr>
        <w:t xml:space="preserve">110+3841</w:t>
      </w:r>
      <w:r>
        <w:rPr>
          <w:rFonts w:ascii="Times New Roman" w:hAnsi="Times New Roman"/>
          <w:sz w:val="28"/>
          <w:szCs w:val="28"/>
        </w:rPr>
        <w:t xml:space="preserve">,00 грн., КЕКВ 2</w:t>
      </w:r>
      <w:r>
        <w:rPr>
          <w:rFonts w:ascii="Times New Roman" w:hAnsi="Times New Roman"/>
          <w:sz w:val="28"/>
          <w:szCs w:val="28"/>
        </w:rPr>
        <w:t xml:space="preserve">120+2041</w:t>
      </w:r>
      <w:r>
        <w:rPr>
          <w:rFonts w:ascii="Times New Roman" w:hAnsi="Times New Roman"/>
          <w:sz w:val="28"/>
          <w:szCs w:val="28"/>
        </w:rPr>
        <w:t xml:space="preserve">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по забезпеченню діяльності інших закладів у сфері освіти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саме: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шити річну суму кошторисних призначень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частині видатків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а оплат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предметів та матеріалів</w:t>
      </w:r>
      <w:r>
        <w:rPr>
          <w:rFonts w:ascii="Times New Roman" w:hAnsi="Times New Roman"/>
          <w:sz w:val="28"/>
          <w:szCs w:val="28"/>
        </w:rPr>
        <w:t xml:space="preserve"> в сумі 1</w:t>
      </w:r>
      <w:r>
        <w:rPr>
          <w:rFonts w:ascii="Times New Roman" w:hAnsi="Times New Roman"/>
          <w:sz w:val="28"/>
          <w:szCs w:val="28"/>
        </w:rPr>
        <w:t xml:space="preserve">68570</w:t>
      </w:r>
      <w:r>
        <w:rPr>
          <w:rFonts w:ascii="Times New Roman" w:hAnsi="Times New Roman"/>
          <w:sz w:val="28"/>
          <w:szCs w:val="28"/>
        </w:rPr>
        <w:t xml:space="preserve">,00 грн., на оплату </w:t>
      </w:r>
      <w:r>
        <w:rPr>
          <w:rFonts w:ascii="Times New Roman" w:hAnsi="Times New Roman"/>
          <w:sz w:val="28"/>
          <w:szCs w:val="28"/>
        </w:rPr>
        <w:t xml:space="preserve">електроенергії </w:t>
      </w:r>
      <w:r>
        <w:rPr>
          <w:rFonts w:ascii="Times New Roman" w:hAnsi="Times New Roman"/>
          <w:sz w:val="28"/>
          <w:szCs w:val="28"/>
        </w:rPr>
        <w:t xml:space="preserve">в сумі </w:t>
      </w:r>
      <w:r>
        <w:rPr>
          <w:rFonts w:ascii="Times New Roman" w:hAnsi="Times New Roman"/>
          <w:sz w:val="28"/>
          <w:szCs w:val="28"/>
        </w:rPr>
        <w:t xml:space="preserve">10000</w:t>
      </w:r>
      <w:r>
        <w:rPr>
          <w:rFonts w:ascii="Times New Roman" w:hAnsi="Times New Roman"/>
          <w:sz w:val="28"/>
          <w:szCs w:val="28"/>
        </w:rPr>
        <w:t xml:space="preserve">,00 грн.;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збільшити кошторисні призначення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видатків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оплату заробітної плати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147013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</w:t>
      </w:r>
      <w:r>
        <w:rPr>
          <w:rFonts w:ascii="Times New Roman" w:hAnsi="Times New Roman"/>
          <w:sz w:val="28"/>
          <w:szCs w:val="28"/>
        </w:rPr>
        <w:t xml:space="preserve">нарахування на заробітну плату </w:t>
      </w:r>
      <w:r>
        <w:rPr>
          <w:rFonts w:ascii="Times New Roman" w:hAnsi="Times New Roman"/>
          <w:sz w:val="28"/>
          <w:szCs w:val="28"/>
        </w:rPr>
        <w:t xml:space="preserve">в сумі </w:t>
      </w:r>
      <w:r>
        <w:rPr>
          <w:rFonts w:ascii="Times New Roman" w:hAnsi="Times New Roman"/>
          <w:sz w:val="28"/>
          <w:szCs w:val="28"/>
        </w:rPr>
        <w:t xml:space="preserve">31557</w:t>
      </w:r>
      <w:r>
        <w:rPr>
          <w:rFonts w:ascii="Times New Roman" w:hAnsi="Times New Roman"/>
          <w:sz w:val="28"/>
          <w:szCs w:val="28"/>
        </w:rPr>
        <w:t xml:space="preserve">,00 грн.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0611141 КЕКВ 22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0-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68570</w:t>
      </w:r>
      <w:r>
        <w:rPr>
          <w:rFonts w:ascii="Times New Roman" w:hAnsi="Times New Roman"/>
          <w:sz w:val="28"/>
          <w:szCs w:val="28"/>
        </w:rPr>
        <w:t xml:space="preserve">,00 грн., КЕКВ 2</w:t>
      </w:r>
      <w:r>
        <w:rPr>
          <w:rFonts w:ascii="Times New Roman" w:hAnsi="Times New Roman"/>
          <w:sz w:val="28"/>
          <w:szCs w:val="28"/>
        </w:rPr>
        <w:t xml:space="preserve">273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10000</w:t>
      </w:r>
      <w:r>
        <w:rPr>
          <w:rFonts w:ascii="Times New Roman" w:hAnsi="Times New Roman"/>
          <w:sz w:val="28"/>
          <w:szCs w:val="28"/>
        </w:rPr>
        <w:t xml:space="preserve">,00 грн.</w:t>
      </w:r>
      <w:r>
        <w:rPr>
          <w:rFonts w:ascii="Times New Roman" w:hAnsi="Times New Roman"/>
          <w:sz w:val="28"/>
          <w:szCs w:val="28"/>
        </w:rPr>
        <w:t xml:space="preserve">, КЕКВ 2110+147013,00 грн., КЕКВ 2120+31557,00 грн.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611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розпорядження покласти на постійну комісію з питань планування, фінансів, бюджету та соціально – економічного розвитку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611"/>
        <w:ind w:left="0" w:firstLine="56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  Алла НЕРОСЛИК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11">
    <w:name w:val="List Paragraph"/>
    <w:basedOn w:val="60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22</cp:revision>
  <dcterms:created xsi:type="dcterms:W3CDTF">2022-12-09T07:34:00Z</dcterms:created>
  <dcterms:modified xsi:type="dcterms:W3CDTF">2022-12-24T08:39:06Z</dcterms:modified>
</cp:coreProperties>
</file>