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2112" w:right="0" w:firstLine="3557"/>
        <w:jc w:val="both"/>
        <w:spacing w:lineRule="auto" w:line="240" w:after="0" w:afterAutospacing="0"/>
      </w:pPr>
      <w:r>
        <w:t xml:space="preserve">Додаток</w:t>
      </w:r>
      <w:r/>
    </w:p>
    <w:p>
      <w:pPr>
        <w:ind w:left="5669" w:right="0" w:firstLine="0"/>
        <w:jc w:val="left"/>
        <w:spacing w:lineRule="auto" w:line="240" w:after="0" w:afterAutospacing="0"/>
        <w:tabs>
          <w:tab w:val="right" w:pos="10113" w:leader="none"/>
        </w:tabs>
      </w:pPr>
      <w:r>
        <w:t xml:space="preserve">до</w:t>
      </w:r>
      <w:r>
        <w:t xml:space="preserve"> рішення</w:t>
      </w:r>
      <w:r>
        <w:t xml:space="preserve"> 2</w:t>
      </w:r>
      <w:r>
        <w:rPr>
          <w:lang w:val="uk-UA"/>
        </w:rPr>
        <w:t xml:space="preserve">8</w:t>
      </w:r>
      <w:r>
        <w:t xml:space="preserve"> сесії</w:t>
      </w:r>
      <w:r>
        <w:t xml:space="preserve"> Менської</w:t>
      </w:r>
      <w:r/>
    </w:p>
    <w:p>
      <w:pPr>
        <w:ind w:left="5679" w:right="881"/>
        <w:spacing w:lineRule="auto" w:line="240" w:after="0" w:afterAutospacing="0"/>
      </w:pPr>
      <w:r>
        <w:t xml:space="preserve">міської</w:t>
      </w:r>
      <w:r>
        <w:t xml:space="preserve"> ради 8 </w:t>
      </w:r>
      <w:r>
        <w:t xml:space="preserve">скликання</w:t>
      </w:r>
      <w:r>
        <w:t xml:space="preserve"> </w:t>
      </w:r>
      <w:r/>
    </w:p>
    <w:p>
      <w:pPr>
        <w:ind w:left="5679" w:right="881"/>
        <w:spacing w:lineRule="auto" w:line="240" w:after="0" w:afterAutospacing="0"/>
        <w:rPr>
          <w:highlight w:val="none"/>
        </w:rPr>
      </w:pPr>
      <w:r>
        <w:t xml:space="preserve">21 </w:t>
      </w:r>
      <w:r>
        <w:t xml:space="preserve">грудня</w:t>
      </w:r>
      <w:r>
        <w:t xml:space="preserve"> 2022 року № 493</w:t>
      </w:r>
      <w:r/>
    </w:p>
    <w:p>
      <w:pPr>
        <w:ind w:left="5679" w:right="881"/>
        <w:spacing w:lineRule="auto" w:line="240" w:after="0" w:afterAutospacing="0"/>
      </w:pPr>
      <w:r>
        <w:rPr>
          <w:highlight w:val="none"/>
        </w:rPr>
      </w:r>
      <w:r>
        <w:rPr>
          <w:highlight w:val="none"/>
        </w:rPr>
      </w:r>
      <w:r/>
    </w:p>
    <w:p>
      <w:pPr>
        <w:ind w:left="10" w:right="141"/>
        <w:jc w:val="center"/>
        <w:spacing w:after="12"/>
      </w:pPr>
      <w:r>
        <w:rPr>
          <w:b/>
        </w:rPr>
        <w:t xml:space="preserve">Звіт</w:t>
      </w:r>
      <w:r/>
    </w:p>
    <w:p>
      <w:pPr>
        <w:ind w:left="10" w:right="141"/>
        <w:jc w:val="center"/>
        <w:spacing w:after="12"/>
        <w:rPr>
          <w:b/>
        </w:rPr>
      </w:pPr>
      <w:r>
        <w:rPr>
          <w:b/>
        </w:rPr>
        <w:t xml:space="preserve">про стан </w:t>
      </w:r>
      <w:r>
        <w:rPr>
          <w:b/>
        </w:rPr>
        <w:t xml:space="preserve">виконання</w:t>
      </w:r>
      <w:r>
        <w:rPr>
          <w:b/>
        </w:rPr>
        <w:t xml:space="preserve"> </w:t>
      </w:r>
      <w:r>
        <w:rPr>
          <w:b/>
        </w:rPr>
        <w:t xml:space="preserve">Програми</w:t>
      </w:r>
      <w:r>
        <w:rPr>
          <w:lang w:val="uk-UA"/>
        </w:rPr>
        <w:t xml:space="preserve"> </w:t>
      </w:r>
      <w:r>
        <w:rPr>
          <w:lang w:val="uk-UA"/>
        </w:rPr>
        <w:t xml:space="preserve"> </w:t>
      </w:r>
      <w:r>
        <w:rPr>
          <w:b/>
          <w:lang w:val="uk-UA"/>
        </w:rPr>
        <w:t xml:space="preserve">щодо</w:t>
      </w:r>
      <w:r>
        <w:rPr>
          <w:b/>
          <w:lang w:val="uk-UA"/>
        </w:rPr>
        <w:t xml:space="preserve"> попередження дитячої безпритульності та бездоглядності, розвитку сімейних форм виховання дітей-сиріт, дітей, позба</w:t>
      </w:r>
      <w:r>
        <w:rPr>
          <w:b/>
          <w:lang w:val="uk-UA"/>
        </w:rPr>
        <w:t xml:space="preserve">влених батьківського піклування</w:t>
      </w:r>
      <w:r>
        <w:rPr>
          <w:b/>
          <w:lang w:val="uk-UA"/>
        </w:rPr>
        <w:t xml:space="preserve"> «Діти </w:t>
      </w:r>
      <w:r>
        <w:rPr>
          <w:b/>
          <w:lang w:val="uk-UA"/>
        </w:rPr>
        <w:t xml:space="preserve">Менщини</w:t>
      </w:r>
      <w:r>
        <w:rPr>
          <w:b/>
          <w:lang w:val="uk-UA"/>
        </w:rPr>
        <w:t xml:space="preserve">»</w:t>
      </w:r>
      <w:r/>
    </w:p>
    <w:p>
      <w:pPr>
        <w:ind w:left="567" w:right="698"/>
        <w:jc w:val="center"/>
        <w:spacing w:after="310"/>
        <w:rPr>
          <w:lang w:val="uk-UA"/>
        </w:rPr>
      </w:pPr>
      <w:r>
        <w:rPr>
          <w:b/>
        </w:rPr>
        <w:t xml:space="preserve">на 2022-2024 роки за 2022 р</w:t>
      </w:r>
      <w:r>
        <w:rPr>
          <w:b/>
          <w:lang w:val="uk-UA"/>
        </w:rPr>
        <w:t xml:space="preserve">ік</w:t>
      </w:r>
      <w:r/>
    </w:p>
    <w:p>
      <w:pPr>
        <w:ind w:left="0" w:right="0" w:firstLine="567"/>
        <w:rPr>
          <w:color w:val="auto"/>
          <w:sz w:val="24"/>
          <w:lang w:val="uk-UA"/>
        </w:rPr>
      </w:pPr>
      <w:r>
        <w:rPr>
          <w:lang w:val="uk-UA"/>
        </w:rPr>
        <w:t xml:space="preserve">Комунальна установа «Менський міський центр соціальних служб» Менської міської ради – це спеціальний заклад, який проводить соціальну роботу з сім’ями/особами,  які перебувають у складних життєвих обставинах та потребують сторонньої допомоги.</w:t>
      </w:r>
      <w:r/>
    </w:p>
    <w:p>
      <w:pPr>
        <w:ind w:left="0" w:right="0" w:firstLine="567"/>
        <w:rPr>
          <w:lang w:val="uk-UA" w:eastAsia="en-US"/>
        </w:rPr>
      </w:pPr>
      <w:r>
        <w:rPr>
          <w:bCs/>
          <w:iCs/>
          <w:lang w:val="uk-UA" w:eastAsia="en-US"/>
        </w:rPr>
        <w:t xml:space="preserve">Основна мета діяльності</w:t>
      </w:r>
      <w:r>
        <w:rPr>
          <w:lang w:val="uk-UA" w:eastAsia="en-US"/>
        </w:rPr>
        <w:t xml:space="preserve"> Менського міського центру соціальних служб -  забезпечення надання базових соціальних послуг сім’ям/особам, які перебувають у складних життєвих обставинах та потребують сторонньої допомоги на території Менської територіальної громади. </w:t>
      </w:r>
      <w:r/>
    </w:p>
    <w:p>
      <w:pPr>
        <w:ind w:left="0" w:right="0" w:firstLine="567"/>
        <w:rPr>
          <w:lang w:val="uk-UA"/>
        </w:rPr>
      </w:pPr>
      <w:r>
        <w:rPr>
          <w:lang w:val="uk-UA"/>
        </w:rPr>
        <w:t xml:space="preserve">Інформація про центр як надавача соціальних послуг внесена до Реєстру надавачів соціальних послуг. Соціальні послуги надаються відповідно до Державних стандартів надання  соціальних послуг.  Центр діє згідно Законів  України «Про соціальні послуги», </w:t>
      </w:r>
      <w:r>
        <w:rPr>
          <w:lang w:val="uk-UA"/>
        </w:rPr>
        <w:t xml:space="preserve">«Про соціальну роботу з сім’ями, дітьми та молоддю», «Про протидію насильству», Постанови КМУ №800 від 03.10.2018 р. «Деякі питання соціального захисту дітей, які перебувають у складних життєвих обставинах, у тому числі таких, що можуть загрожувати їх житт</w:t>
      </w:r>
      <w:r>
        <w:rPr>
          <w:lang w:val="uk-UA"/>
        </w:rPr>
        <w:t xml:space="preserve">ю</w:t>
      </w:r>
      <w:r>
        <w:rPr>
          <w:lang w:val="uk-UA"/>
        </w:rPr>
        <w:t xml:space="preserve"> та здоров’ю»,  Постанови КМУ № 585 від 01.06.2020 р. «Про забезпечення соціального захисту дітей, які перебувають у складних життєвих обставинах», Постанови КМУ №587 від 01.06.2020 р. «Про організацію надання соціальних послуг» та інших нормативних актів.</w:t>
      </w:r>
      <w:r/>
    </w:p>
    <w:p>
      <w:pPr>
        <w:ind w:left="0" w:right="0" w:firstLine="567"/>
        <w:shd w:val="clear" w:fill="FFFFFF" w:color="auto"/>
        <w:rPr>
          <w:lang w:val="uk-UA"/>
        </w:rPr>
      </w:pPr>
      <w:r>
        <w:rPr>
          <w:lang w:val="uk-UA"/>
        </w:rPr>
        <w:t xml:space="preserve">Реалізація заходів центру здійснюється згідно з Програмою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«Діти </w:t>
      </w:r>
      <w:r>
        <w:rPr>
          <w:lang w:val="uk-UA"/>
        </w:rPr>
        <w:t xml:space="preserve">Менщини</w:t>
      </w:r>
      <w:r>
        <w:rPr>
          <w:lang w:val="uk-UA"/>
        </w:rPr>
        <w:t xml:space="preserve">»</w:t>
      </w:r>
      <w:r>
        <w:rPr>
          <w:b/>
          <w:lang w:val="uk-UA"/>
        </w:rPr>
        <w:t xml:space="preserve"> </w:t>
      </w:r>
      <w:r>
        <w:rPr>
          <w:lang w:val="uk-UA"/>
        </w:rPr>
        <w:t xml:space="preserve">на 2022-2024 роки.</w:t>
      </w:r>
      <w:r/>
    </w:p>
    <w:p>
      <w:pPr>
        <w:ind w:left="0" w:right="0" w:firstLine="567"/>
        <w:rPr>
          <w:b/>
          <w:i/>
          <w:color w:val="auto"/>
          <w:sz w:val="28"/>
          <w:szCs w:val="28"/>
          <w:lang w:val="uk-UA"/>
        </w:rPr>
      </w:pPr>
      <w:r>
        <w:rPr>
          <w:lang w:val="uk-UA"/>
        </w:rPr>
        <w:t xml:space="preserve">Сім’ям та особам, безкоштовно надаються  послуги </w:t>
      </w:r>
      <w:r>
        <w:rPr>
          <w:b/>
          <w:i/>
          <w:lang w:val="uk-UA"/>
        </w:rPr>
        <w:t xml:space="preserve">к</w:t>
      </w:r>
      <w:r>
        <w:rPr>
          <w:b/>
          <w:i/>
          <w:highlight w:val="white"/>
          <w:lang w:val="uk-UA"/>
        </w:rPr>
        <w:t xml:space="preserve">онсультування</w:t>
      </w:r>
      <w:r>
        <w:rPr>
          <w:b/>
          <w:i/>
          <w:lang w:val="uk-UA"/>
        </w:rPr>
        <w:t xml:space="preserve">, соціального супроводу сімей/осіб, які перебувають у складних життєвих обставинах, с</w:t>
      </w:r>
      <w:r>
        <w:rPr>
          <w:b/>
          <w:i/>
          <w:highlight w:val="white"/>
          <w:lang w:val="uk-UA"/>
        </w:rPr>
        <w:t xml:space="preserve">оціального супроводу сімей, у </w:t>
      </w:r>
      <w:r>
        <w:rPr>
          <w:b/>
          <w:i/>
          <w:highlight w:val="white"/>
          <w:lang w:val="uk-UA"/>
        </w:rPr>
        <w:t xml:space="preserve">яких виховуються діти-сироти та діти, позбавлені батьківського піклування, </w:t>
      </w:r>
      <w:r>
        <w:rPr>
          <w:b/>
          <w:i/>
          <w:lang w:val="uk-UA"/>
        </w:rPr>
        <w:t xml:space="preserve">с</w:t>
      </w:r>
      <w:r>
        <w:rPr>
          <w:b/>
          <w:i/>
          <w:highlight w:val="white"/>
          <w:lang w:val="uk-UA"/>
        </w:rPr>
        <w:t xml:space="preserve">оціальної адаптації, соціальної інтеграції та реінтеграції, екстреного (кризового) втручання, представництва інтересів, посередництва (медіації)</w:t>
      </w:r>
      <w:r>
        <w:rPr>
          <w:b/>
          <w:i/>
          <w:lang w:val="uk-UA"/>
        </w:rPr>
        <w:t xml:space="preserve">, соціальної профілактики, натуральної допомоги.</w:t>
      </w:r>
      <w:r>
        <w:rPr>
          <w:b/>
          <w:i/>
          <w:sz w:val="28"/>
          <w:szCs w:val="28"/>
          <w:lang w:val="uk-UA"/>
        </w:rPr>
        <w:t xml:space="preserve"> </w:t>
      </w:r>
      <w:r/>
    </w:p>
    <w:p>
      <w:pPr>
        <w:ind w:left="0" w:right="0" w:firstLine="567"/>
        <w:tabs>
          <w:tab w:val="num" w:pos="928" w:leader="none"/>
        </w:tabs>
        <w:rPr>
          <w:sz w:val="24"/>
          <w:szCs w:val="24"/>
          <w:lang w:val="uk-UA" w:eastAsia="en-US"/>
        </w:rPr>
      </w:pPr>
      <w:r>
        <w:rPr>
          <w:sz w:val="28"/>
          <w:szCs w:val="28"/>
          <w:lang w:val="uk-UA" w:eastAsia="en-US"/>
        </w:rPr>
        <w:tab/>
      </w:r>
      <w:r>
        <w:rPr>
          <w:lang w:val="uk-UA" w:eastAsia="en-US"/>
        </w:rPr>
        <w:t xml:space="preserve">Отримувачами послуг центру є сім'ї, в яких є ризик соціального сирітства, особи та діти, постраждалі від насильства та жорстокого поводження, одинокі матері,  в </w:t>
      </w:r>
      <w:r>
        <w:rPr>
          <w:lang w:val="uk-UA" w:eastAsia="en-US"/>
        </w:rPr>
        <w:t xml:space="preserve">т.ч</w:t>
      </w:r>
      <w:r>
        <w:rPr>
          <w:lang w:val="uk-UA" w:eastAsia="en-US"/>
        </w:rPr>
        <w:t xml:space="preserve">. неповнолітні, сім'ї, де один чи кілька членів мають інвалідність,  прийомні сім’ї та дитячий будинок сімейного типу, особи з числа дітей-сиріт, позбавлених батьківського піклування, постраждалі від збройних </w:t>
      </w:r>
      <w:r>
        <w:rPr>
          <w:bCs/>
          <w:iCs/>
          <w:spacing w:val="5"/>
          <w:lang w:val="uk-UA" w:eastAsia="en-US"/>
        </w:rPr>
        <w:t xml:space="preserve">конфліктів та тимчасової окупації, внутрішньо переміщені сім’ї</w:t>
      </w:r>
      <w:r>
        <w:rPr>
          <w:b/>
          <w:bCs/>
          <w:i/>
          <w:iCs/>
          <w:spacing w:val="5"/>
          <w:lang w:val="uk-UA" w:eastAsia="en-US"/>
        </w:rPr>
        <w:t xml:space="preserve">,</w:t>
      </w:r>
      <w:r>
        <w:rPr>
          <w:lang w:val="uk-UA" w:eastAsia="en-US"/>
        </w:rPr>
        <w:t xml:space="preserve"> сім'ї, члени яких перебувають/перебували у конфлікті з законом, сім'ї, яких торкнулася проблема ВІЛ, сім'ї, де є </w:t>
      </w:r>
      <w:r>
        <w:rPr>
          <w:lang w:val="uk-UA" w:eastAsia="en-US"/>
        </w:rPr>
        <w:t xml:space="preserve">алко</w:t>
      </w:r>
      <w:r>
        <w:rPr>
          <w:lang w:val="uk-UA" w:eastAsia="en-US"/>
        </w:rPr>
        <w:t xml:space="preserve">/наркозалежні члени родини, сім’ї опікунів/піклувальників, сім'ї, яким призначена державна допомога при народженні дитини, та інші вразливі категорії.</w:t>
      </w:r>
      <w:r/>
    </w:p>
    <w:p>
      <w:pPr>
        <w:ind w:left="0" w:right="0" w:firstLine="567"/>
        <w:tabs>
          <w:tab w:val="num" w:pos="928" w:leader="none"/>
        </w:tabs>
        <w:rPr>
          <w:bCs/>
          <w:iCs/>
          <w:color w:val="auto"/>
          <w:spacing w:val="5"/>
          <w:lang w:val="uk-UA" w:eastAsia="en-US"/>
        </w:rPr>
      </w:pPr>
      <w:r>
        <w:rPr>
          <w:lang w:val="uk-UA" w:eastAsia="en-US"/>
        </w:rPr>
        <w:tab/>
        <w:t xml:space="preserve">Під час дії воєнного стану значно збільшилася кількість отримувачів послуг - </w:t>
      </w:r>
      <w:r>
        <w:rPr>
          <w:bCs/>
          <w:iCs/>
          <w:spacing w:val="5"/>
          <w:lang w:val="uk-UA" w:eastAsia="en-US"/>
        </w:rPr>
        <w:t xml:space="preserve">внутрішньо переміщених сімей та </w:t>
      </w:r>
      <w:r>
        <w:rPr>
          <w:lang w:val="uk-UA" w:eastAsia="en-US"/>
        </w:rPr>
        <w:t xml:space="preserve">постраждалих від збройних </w:t>
      </w:r>
      <w:r>
        <w:rPr>
          <w:bCs/>
          <w:iCs/>
          <w:spacing w:val="5"/>
          <w:lang w:val="uk-UA" w:eastAsia="en-US"/>
        </w:rPr>
        <w:t xml:space="preserve">конфліктів та тимчасової окупації. Важливим аспектом роботи стало організація соціальної підтримки, надання гуманітарної, благодійної  допомоги та психологічна підтримка таких сімей. </w:t>
      </w:r>
      <w:r/>
    </w:p>
    <w:p>
      <w:pPr>
        <w:ind w:left="0" w:right="0" w:firstLine="567"/>
        <w:tabs>
          <w:tab w:val="num" w:pos="928" w:leader="none"/>
        </w:tabs>
        <w:rPr>
          <w:bCs/>
          <w:iCs/>
          <w:spacing w:val="5"/>
          <w:lang w:val="uk-UA" w:eastAsia="en-US"/>
        </w:rPr>
      </w:pPr>
      <w:r>
        <w:rPr>
          <w:bCs/>
          <w:iCs/>
          <w:spacing w:val="5"/>
          <w:lang w:val="uk-UA" w:eastAsia="en-US"/>
        </w:rPr>
        <w:tab/>
        <w:t xml:space="preserve">За 2022 рік надано соціальні послуги 3608 сім’ям, в яких виховується 6333 дітей, з них 1373 сімей - внутрішньо переміщені особи, в яких 3125 дітей. З початку </w:t>
      </w:r>
      <w:r>
        <w:rPr>
          <w:bCs/>
          <w:iCs/>
          <w:spacing w:val="5"/>
          <w:lang w:val="uk-UA" w:eastAsia="en-US"/>
        </w:rPr>
        <w:t xml:space="preserve">повномасштабної</w:t>
      </w:r>
      <w:r>
        <w:rPr>
          <w:bCs/>
          <w:iCs/>
          <w:spacing w:val="5"/>
          <w:lang w:val="uk-UA" w:eastAsia="en-US"/>
        </w:rPr>
        <w:t xml:space="preserve"> війни комунальна установа «Менський міський центр соціальних служб» була уповноважена  забезпечувати розподіл гуманітарної допомоги, що надходить до Менської територіальної громади. Тому важ</w:t>
      </w:r>
      <w:r>
        <w:rPr>
          <w:bCs/>
          <w:iCs/>
          <w:spacing w:val="5"/>
          <w:lang w:val="uk-UA" w:eastAsia="en-US"/>
        </w:rPr>
        <w:t xml:space="preserve">ливим напрямом роботи центру стало надання гуманітарної /благодійної допомоги. Центр співпрацює з громадськими, благодійними організаціями, фондами,  Чернігівським представництвом Червоного Хреста в Україні щодо надання допомоги вразливим категоріям населе</w:t>
      </w:r>
      <w:r>
        <w:rPr>
          <w:bCs/>
          <w:iCs/>
          <w:spacing w:val="5"/>
          <w:lang w:val="uk-UA" w:eastAsia="en-US"/>
        </w:rPr>
        <w:t xml:space="preserve">ння. Завдяки співпраці з Благодійним фондом «Іскра добра», ГО «Іскра добра» територіальна громада отримала 5100 продуктових наборів для внутрішньо-переміщених осіб, багатодітних, малозабезпечених сімей, осіб з інвалідністю, пенсіонерів та інших категорій. </w:t>
      </w:r>
      <w:r>
        <w:rPr>
          <w:bCs/>
          <w:iCs/>
          <w:spacing w:val="5"/>
          <w:lang w:val="uk-UA" w:eastAsia="en-US"/>
        </w:rPr>
        <w:t xml:space="preserve">Т</w:t>
      </w:r>
      <w:r>
        <w:rPr>
          <w:bCs/>
          <w:iCs/>
          <w:spacing w:val="5"/>
          <w:lang w:val="uk-UA" w:eastAsia="en-US"/>
        </w:rPr>
        <w:t xml:space="preserve">акож установа на постійній основі співпрацює з Товариством Червоного Хреста України, завдяки чому вже неодноразово було отримано продуктові набори, гігієнічні, ковдри, постіль, рушники, </w:t>
      </w:r>
      <w:r>
        <w:rPr>
          <w:bCs/>
          <w:iCs/>
          <w:spacing w:val="5"/>
          <w:lang w:val="uk-UA" w:eastAsia="en-US"/>
        </w:rPr>
        <w:t xml:space="preserve">матраци</w:t>
      </w:r>
      <w:r>
        <w:rPr>
          <w:bCs/>
          <w:iCs/>
          <w:spacing w:val="5"/>
          <w:lang w:val="uk-UA" w:eastAsia="en-US"/>
        </w:rPr>
        <w:t xml:space="preserve">, посуд та інше для внутрішньо-</w:t>
      </w:r>
      <w:r>
        <w:rPr>
          <w:bCs/>
          <w:iCs/>
          <w:spacing w:val="5"/>
          <w:lang w:val="uk-UA" w:eastAsia="en-US"/>
        </w:rPr>
        <w:t xml:space="preserve">переміщених осіб, які на тривалий термін залишилися проживати у громаді. Також завдяки Менський міській раді комунальна установа отримала від донора  - </w:t>
      </w:r>
      <w:r>
        <w:rPr>
          <w:bCs/>
          <w:iCs/>
          <w:spacing w:val="5"/>
          <w:lang w:val="uk-UA" w:eastAsia="en-US"/>
        </w:rPr>
        <w:t xml:space="preserve">Агенства</w:t>
      </w:r>
      <w:r>
        <w:rPr>
          <w:bCs/>
          <w:iCs/>
          <w:spacing w:val="5"/>
          <w:lang w:val="uk-UA" w:eastAsia="en-US"/>
        </w:rPr>
        <w:t xml:space="preserve"> ООН у справах біженців в Україні  та ГО «</w:t>
      </w:r>
      <w:r>
        <w:rPr>
          <w:bCs/>
          <w:iCs/>
          <w:spacing w:val="5"/>
          <w:lang w:val="uk-UA" w:eastAsia="en-US"/>
        </w:rPr>
        <w:t xml:space="preserve">Крим SOS</w:t>
      </w:r>
      <w:r>
        <w:rPr>
          <w:bCs/>
          <w:iCs/>
          <w:spacing w:val="5"/>
          <w:lang w:val="uk-UA" w:eastAsia="en-US"/>
        </w:rPr>
        <w:t xml:space="preserve">» благодійну допомогу для постраждалого населення. Допомога також б</w:t>
      </w:r>
      <w:r>
        <w:rPr>
          <w:bCs/>
          <w:iCs/>
          <w:spacing w:val="5"/>
          <w:lang w:val="uk-UA" w:eastAsia="en-US"/>
        </w:rPr>
        <w:t xml:space="preserve">ула отримана від волонтерів, які постійно забезпечували установу всім необхідним для забезпечення потреб, в першу чергу, внутрішньо-переміщених осіб та інших категорій, які потребували такої допомоги. Завдяки співпраці з  БФ «Рокада» реалізовано грантовий </w:t>
      </w:r>
      <w:r>
        <w:rPr>
          <w:bCs/>
          <w:iCs/>
          <w:spacing w:val="5"/>
          <w:lang w:val="uk-UA" w:eastAsia="en-US"/>
        </w:rPr>
        <w:t xml:space="preserve">проєкт</w:t>
      </w:r>
      <w:r>
        <w:rPr>
          <w:bCs/>
          <w:iCs/>
          <w:spacing w:val="5"/>
          <w:lang w:val="uk-UA" w:eastAsia="en-US"/>
        </w:rPr>
        <w:t xml:space="preserve"> «Гуманітарна солідарність» по наданню допомоги предметами побуту та гігієни внутрішньо переміщеним особам, особам з інвалідністю та сім’ям, які перебувають у складних життєвих обставинах, реалізовано </w:t>
      </w:r>
      <w:r>
        <w:rPr>
          <w:bCs/>
          <w:iCs/>
          <w:spacing w:val="5"/>
          <w:lang w:val="uk-UA" w:eastAsia="en-US"/>
        </w:rPr>
        <w:t xml:space="preserve">проєкт</w:t>
      </w:r>
      <w:r>
        <w:rPr>
          <w:bCs/>
          <w:iCs/>
          <w:spacing w:val="5"/>
          <w:lang w:val="uk-UA" w:eastAsia="en-US"/>
        </w:rPr>
        <w:t xml:space="preserve"> «Моніторинг потреб та підтримка в умовах війни», за підтримки Дитячого фонду ООН ЮНІСЕФ, за якого отримано 9 планшетів для соціальних фахівців комунальної установи. </w:t>
      </w:r>
      <w:r/>
    </w:p>
    <w:p>
      <w:pPr>
        <w:ind w:left="0" w:right="0" w:firstLine="567"/>
        <w:tabs>
          <w:tab w:val="num" w:pos="928" w:leader="none"/>
        </w:tabs>
        <w:rPr>
          <w:lang w:val="uk-UA" w:eastAsia="en-US"/>
        </w:rPr>
      </w:pPr>
      <w:r>
        <w:rPr>
          <w:bCs/>
          <w:iCs/>
          <w:spacing w:val="5"/>
          <w:lang w:val="uk-UA" w:eastAsia="en-US"/>
        </w:rPr>
        <w:tab/>
        <w:t xml:space="preserve">Особливої уваги потребують сім’ї, у яких батьки ухиляються від виконання батьківських обов’язків. </w:t>
      </w:r>
      <w:r>
        <w:rPr>
          <w:lang w:val="uk-UA" w:eastAsia="en-US"/>
        </w:rPr>
        <w:t xml:space="preserve">Відвідування сімей та соціальна робота здійснюється у взаємодії з іншими суб’єктами соціальної роботи: службою у справах дітей, юве</w:t>
      </w:r>
      <w:r>
        <w:rPr>
          <w:lang w:val="uk-UA" w:eastAsia="en-US"/>
        </w:rPr>
        <w:t xml:space="preserve">нальною превенцією, старостами, іншими суб’єктами соціальної роботи. Всі сім’ї, діти з яких перебувають на обліку служби як діти, які опинилися у складних життєвих обставинах,  100% охоплені соціальними послугами та перебувають на обліку центру. Центр вибі</w:t>
      </w:r>
      <w:r>
        <w:rPr>
          <w:lang w:val="uk-UA" w:eastAsia="en-US"/>
        </w:rPr>
        <w:t xml:space="preserve">рково перевіряє цільове використання коштів державної соціальної допомоги при народженні дитини та надає пропозиції про припинення у випадку нецільового використання. Припинено виплату 2 сім’ям, діти вилучені до центру соціально-психологічної реабілітації.</w:t>
      </w:r>
      <w:r/>
    </w:p>
    <w:p>
      <w:pPr>
        <w:ind w:left="0" w:right="0" w:firstLine="567"/>
        <w:rPr>
          <w:lang w:val="uk-UA" w:eastAsia="en-US"/>
        </w:rPr>
      </w:pPr>
      <w:r>
        <w:rPr>
          <w:lang w:val="uk-UA" w:eastAsia="en-US"/>
        </w:rPr>
        <w:t xml:space="preserve">Соціальна робота обліковується згідно наказу </w:t>
      </w:r>
      <w:r>
        <w:rPr>
          <w:lang w:val="uk-UA" w:eastAsia="en-US"/>
        </w:rPr>
        <w:t xml:space="preserve">Мінсоцполітики</w:t>
      </w:r>
      <w:r>
        <w:rPr>
          <w:lang w:val="uk-UA" w:eastAsia="en-US"/>
        </w:rPr>
        <w:t xml:space="preserve"> </w:t>
      </w:r>
      <w:r>
        <w:rPr>
          <w:lang w:val="uk-UA" w:eastAsia="en-US"/>
        </w:rPr>
        <w:t xml:space="preserve">від 13.07.2008 р. №1005 «Про затвердження форм обліку з сім’ями/особами, які перебувають у складних життєвих обставинах» та ведеться згідно технології ведення випадку. На час дії воєнного стану послуги можуть надаватися згідно акту надання послуг екстрено/</w:t>
      </w:r>
      <w:r>
        <w:rPr>
          <w:lang w:val="uk-UA" w:eastAsia="en-US"/>
        </w:rPr>
        <w:t xml:space="preserve">кризово</w:t>
      </w:r>
      <w:r>
        <w:rPr>
          <w:lang w:val="uk-UA" w:eastAsia="en-US"/>
        </w:rPr>
        <w:t xml:space="preserve">. Отримано 22 повідомлення про складні життєві обставини, на обліку центру перебувало 125 сімей, в них виховується 289 дітей, які перебувають у складних життєвих обставинах. </w:t>
      </w:r>
      <w:r>
        <w:rPr>
          <w:lang w:val="uk-UA" w:eastAsia="en-US"/>
        </w:rPr>
        <w:t xml:space="preserve">На сьогоднішній день на обліку перебуває 131 сім'я, в них виховується 302 дитини. </w:t>
      </w:r>
      <w:r>
        <w:rPr>
          <w:lang w:val="uk-UA" w:eastAsia="en-US"/>
        </w:rPr>
        <w:t xml:space="preserve">3</w:t>
      </w:r>
      <w:r>
        <w:rPr>
          <w:lang w:eastAsia="en-US"/>
        </w:rPr>
        <w:t xml:space="preserve">8 </w:t>
      </w:r>
      <w:r>
        <w:rPr>
          <w:lang w:val="uk-UA" w:eastAsia="en-US"/>
        </w:rPr>
        <w:t xml:space="preserve">сімей охоплено соціальним супроводом. При наданні соціальних послуг складено  39 актів візиту, 28 оцінок потреб сім’ї/дитини, 12 актів надання соціальних послуг екстрено/</w:t>
      </w:r>
      <w:r>
        <w:rPr>
          <w:lang w:val="uk-UA" w:eastAsia="en-US"/>
        </w:rPr>
        <w:t xml:space="preserve">кризово</w:t>
      </w:r>
      <w:r>
        <w:rPr>
          <w:lang w:val="uk-UA" w:eastAsia="en-US"/>
        </w:rPr>
        <w:t xml:space="preserve">. </w:t>
      </w:r>
      <w:r/>
    </w:p>
    <w:p>
      <w:pPr>
        <w:ind w:left="0" w:right="0" w:firstLine="567"/>
        <w:rPr>
          <w:lang w:val="uk-UA" w:eastAsia="en-US"/>
        </w:rPr>
      </w:pPr>
      <w:r>
        <w:rPr>
          <w:lang w:val="uk-UA" w:eastAsia="en-US"/>
        </w:rPr>
        <w:t xml:space="preserve">Фахівцями, які вели випадки, готуються інформації про сім’ї, де не виконуються ба</w:t>
      </w:r>
      <w:r>
        <w:rPr>
          <w:lang w:val="uk-UA" w:eastAsia="en-US"/>
        </w:rPr>
        <w:t xml:space="preserve">тьківські обов’язки, для розгляду на Комісії з захисту прав дітей, центр в обов’язковому порядку подає матеріали для підготовки позовів про позбавлення батьківських прав, надає соціальні послуги батькам, які виявили намір відновитися у батьківських правах.</w:t>
      </w:r>
      <w:r/>
    </w:p>
    <w:p>
      <w:pPr>
        <w:ind w:left="0" w:right="0" w:firstLine="567"/>
        <w:rPr>
          <w:lang w:val="uk-UA" w:eastAsia="en-US"/>
        </w:rPr>
      </w:pPr>
      <w:r>
        <w:rPr>
          <w:lang w:val="uk-UA" w:eastAsia="en-US"/>
        </w:rPr>
        <w:t xml:space="preserve">Спеціалісти центру здійснюють первинний відбір, підготовку кандидатів у прийомні батьки, направлення на навчання, проходження перекваліфікації кожні 2 роки. </w:t>
      </w:r>
      <w:r/>
    </w:p>
    <w:p>
      <w:pPr>
        <w:ind w:left="0" w:right="0" w:firstLine="567"/>
        <w:rPr>
          <w:lang w:val="uk-UA" w:eastAsia="en-US"/>
        </w:rPr>
      </w:pPr>
      <w:r>
        <w:rPr>
          <w:lang w:val="uk-UA" w:eastAsia="en-US"/>
        </w:rPr>
        <w:t xml:space="preserve">Підготовлено 2 сім’ї кандидатів у прийомні батьки, 1 прийомну сім’ю створено.</w:t>
      </w:r>
      <w:r/>
    </w:p>
    <w:p>
      <w:pPr>
        <w:ind w:left="0" w:right="0" w:firstLine="567"/>
        <w:rPr>
          <w:lang w:val="uk-UA" w:eastAsia="en-US"/>
        </w:rPr>
      </w:pPr>
      <w:r>
        <w:rPr>
          <w:lang w:val="uk-UA" w:eastAsia="en-US"/>
        </w:rPr>
        <w:t xml:space="preserve">За період з початку року проведено 42 групових заходи з різними категоріями осіб, спрямовані на попередження складних життєвих обставин. </w:t>
      </w:r>
      <w:r/>
    </w:p>
    <w:p>
      <w:pPr>
        <w:ind w:left="0" w:right="0" w:firstLine="567"/>
        <w:rPr>
          <w:lang w:val="uk-UA"/>
        </w:rPr>
      </w:pPr>
      <w:r>
        <w:rPr>
          <w:lang w:val="uk-UA" w:eastAsia="en-US"/>
        </w:rPr>
        <w:t xml:space="preserve">При центрі постійно функціонує «Пункт обміну речей, які були у вжитку», яким користуються сім’ї, які потребують допомоги. Ведеться активна співпраця з громадськими і благодійними організаціями, фондами,</w:t>
      </w:r>
      <w:r>
        <w:rPr>
          <w:bCs/>
          <w:iCs/>
          <w:spacing w:val="5"/>
          <w:lang w:val="uk-UA" w:eastAsia="en-US"/>
        </w:rPr>
        <w:t xml:space="preserve"> </w:t>
      </w:r>
      <w:r>
        <w:rPr>
          <w:bCs/>
          <w:iCs/>
          <w:spacing w:val="5"/>
          <w:lang w:val="uk-UA" w:eastAsia="en-US"/>
        </w:rPr>
        <w:t xml:space="preserve">Чернігівським представництвом «Червоного Хреста» в Україні</w:t>
      </w:r>
      <w:r>
        <w:rPr>
          <w:lang w:val="uk-UA" w:eastAsia="en-US"/>
        </w:rPr>
        <w:t xml:space="preserve">. </w:t>
      </w:r>
      <w:r>
        <w:rPr>
          <w:lang w:val="uk-UA"/>
        </w:rPr>
        <w:t xml:space="preserve">В центрі працює психолог, який може надати підтримку всім, хто її потребує. Послуги фахівців центру безкоштовні.</w:t>
      </w:r>
      <w:r/>
    </w:p>
    <w:p>
      <w:pPr>
        <w:ind w:left="-5" w:right="126" w:firstLine="5"/>
      </w:pPr>
      <w:r>
        <w:rPr>
          <w:highlight w:val="none"/>
        </w:rPr>
      </w:r>
      <w:r>
        <w:rPr>
          <w:highlight w:val="none"/>
        </w:rPr>
      </w:r>
      <w:r/>
    </w:p>
    <w:p>
      <w:pPr>
        <w:ind w:left="-5" w:right="126" w:firstLine="5"/>
        <w:rPr>
          <w:highlight w:val="none"/>
        </w:rPr>
      </w:pPr>
      <w:r>
        <w:rPr>
          <w:highlight w:val="none"/>
        </w:rPr>
      </w:r>
      <w:r>
        <w:rPr>
          <w:highlight w:val="none"/>
        </w:rPr>
      </w:r>
      <w:r/>
    </w:p>
    <w:p>
      <w:pPr>
        <w:ind w:left="-5" w:right="126" w:firstLine="5"/>
        <w:rPr>
          <w:highlight w:val="none"/>
        </w:rPr>
      </w:pPr>
      <w:r>
        <w:t xml:space="preserve">Директор КУ ММЦСС</w:t>
        <w:tab/>
        <w:tab/>
        <w:tab/>
        <w:tab/>
        <w:tab/>
        <w:tab/>
        <w:tab/>
      </w:r>
      <w:r>
        <w:t xml:space="preserve">Тетяна</w:t>
      </w:r>
      <w:r>
        <w:t xml:space="preserve">  ВИШНЯК</w:t>
      </w:r>
      <w:r/>
    </w:p>
    <w:sectPr>
      <w:headerReference w:type="default" r:id="rId8"/>
      <w:headerReference w:type="first" r:id="rId9"/>
      <w:footerReference w:type="default" r:id="rId10"/>
      <w:footerReference w:type="first" r:id="rId11"/>
      <w:footnotePr/>
      <w:endnotePr/>
      <w:type w:val="nextPage"/>
      <w:pgSz w:w="12240" w:h="15840"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7"/>
      <w:jc w:val="center"/>
    </w:pPr>
    <w:fldSimple w:instr="PAGE \* MERGEFORMAT">
      <w:r>
        <w:t xml:space="preserve">1</w:t>
      </w:r>
    </w:fldSimple>
    <w:r/>
    <w:r/>
  </w:p>
  <w:p>
    <w:pPr>
      <w:pStyle w:val="717"/>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5"/>
      <w:ind w:left="0" w:right="0" w:firstLine="0"/>
      <w:jc w:val="right"/>
      <w:tabs>
        <w:tab w:val="left" w:pos="2268" w:leader="none"/>
        <w:tab w:val="left" w:pos="2551" w:leader="none"/>
        <w:tab w:val="left" w:pos="2835" w:leader="none"/>
        <w:tab w:val="left" w:pos="3118" w:leader="none"/>
        <w:tab w:val="left" w:pos="3827" w:leader="none"/>
        <w:tab w:val="left" w:pos="4535" w:leader="none"/>
        <w:tab w:val="clear" w:pos="7143" w:leader="none"/>
        <w:tab w:val="clear" w:pos="14287" w:leader="none"/>
      </w:tabs>
    </w:pPr>
    <w:fldSimple w:instr="PAGE \* MERGEFORMAT">
      <w:r>
        <w:t xml:space="preserve">1</w:t>
      </w:r>
    </w:fldSimple>
    <w:r/>
    <w:r>
      <w:tab/>
      <w:t xml:space="preserve">продовження додатка</w:t>
    </w:r>
    <w:r/>
  </w:p>
  <w:p>
    <w:pPr>
      <w:pStyle w:val="71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5"/>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Times New Roman"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7">
    <w:name w:val="Heading 1"/>
    <w:basedOn w:val="865"/>
    <w:next w:val="865"/>
    <w:link w:val="688"/>
    <w:qFormat/>
    <w:uiPriority w:val="9"/>
    <w:rPr>
      <w:rFonts w:ascii="Arial" w:hAnsi="Arial" w:cs="Arial" w:eastAsia="Arial"/>
      <w:sz w:val="40"/>
      <w:szCs w:val="40"/>
    </w:rPr>
    <w:pPr>
      <w:keepLines/>
      <w:keepNext/>
      <w:spacing w:after="200" w:before="480"/>
      <w:outlineLvl w:val="0"/>
    </w:pPr>
  </w:style>
  <w:style w:type="character" w:styleId="688">
    <w:name w:val="Heading 1 Char"/>
    <w:basedOn w:val="866"/>
    <w:link w:val="687"/>
    <w:uiPriority w:val="9"/>
    <w:rPr>
      <w:rFonts w:ascii="Arial" w:hAnsi="Arial" w:cs="Arial" w:eastAsia="Arial"/>
      <w:sz w:val="40"/>
      <w:szCs w:val="40"/>
    </w:rPr>
  </w:style>
  <w:style w:type="paragraph" w:styleId="689">
    <w:name w:val="Heading 2"/>
    <w:basedOn w:val="865"/>
    <w:next w:val="865"/>
    <w:link w:val="690"/>
    <w:qFormat/>
    <w:uiPriority w:val="9"/>
    <w:unhideWhenUsed/>
    <w:rPr>
      <w:rFonts w:ascii="Arial" w:hAnsi="Arial" w:cs="Arial" w:eastAsia="Arial"/>
      <w:sz w:val="34"/>
    </w:rPr>
    <w:pPr>
      <w:keepLines/>
      <w:keepNext/>
      <w:spacing w:after="200" w:before="360"/>
      <w:outlineLvl w:val="1"/>
    </w:pPr>
  </w:style>
  <w:style w:type="character" w:styleId="690">
    <w:name w:val="Heading 2 Char"/>
    <w:basedOn w:val="866"/>
    <w:link w:val="689"/>
    <w:uiPriority w:val="9"/>
    <w:rPr>
      <w:rFonts w:ascii="Arial" w:hAnsi="Arial" w:cs="Arial" w:eastAsia="Arial"/>
      <w:sz w:val="34"/>
    </w:rPr>
  </w:style>
  <w:style w:type="paragraph" w:styleId="691">
    <w:name w:val="Heading 3"/>
    <w:basedOn w:val="865"/>
    <w:next w:val="865"/>
    <w:link w:val="692"/>
    <w:qFormat/>
    <w:uiPriority w:val="9"/>
    <w:unhideWhenUsed/>
    <w:rPr>
      <w:rFonts w:ascii="Arial" w:hAnsi="Arial" w:cs="Arial" w:eastAsia="Arial"/>
      <w:sz w:val="30"/>
      <w:szCs w:val="30"/>
    </w:rPr>
    <w:pPr>
      <w:keepLines/>
      <w:keepNext/>
      <w:spacing w:after="200" w:before="320"/>
      <w:outlineLvl w:val="2"/>
    </w:pPr>
  </w:style>
  <w:style w:type="character" w:styleId="692">
    <w:name w:val="Heading 3 Char"/>
    <w:basedOn w:val="866"/>
    <w:link w:val="691"/>
    <w:uiPriority w:val="9"/>
    <w:rPr>
      <w:rFonts w:ascii="Arial" w:hAnsi="Arial" w:cs="Arial" w:eastAsia="Arial"/>
      <w:sz w:val="30"/>
      <w:szCs w:val="30"/>
    </w:rPr>
  </w:style>
  <w:style w:type="paragraph" w:styleId="693">
    <w:name w:val="Heading 4"/>
    <w:basedOn w:val="865"/>
    <w:next w:val="865"/>
    <w:link w:val="694"/>
    <w:qFormat/>
    <w:uiPriority w:val="9"/>
    <w:unhideWhenUsed/>
    <w:rPr>
      <w:rFonts w:ascii="Arial" w:hAnsi="Arial" w:cs="Arial" w:eastAsia="Arial"/>
      <w:b/>
      <w:bCs/>
      <w:sz w:val="26"/>
      <w:szCs w:val="26"/>
    </w:rPr>
    <w:pPr>
      <w:keepLines/>
      <w:keepNext/>
      <w:spacing w:after="200" w:before="320"/>
      <w:outlineLvl w:val="3"/>
    </w:pPr>
  </w:style>
  <w:style w:type="character" w:styleId="694">
    <w:name w:val="Heading 4 Char"/>
    <w:basedOn w:val="866"/>
    <w:link w:val="693"/>
    <w:uiPriority w:val="9"/>
    <w:rPr>
      <w:rFonts w:ascii="Arial" w:hAnsi="Arial" w:cs="Arial" w:eastAsia="Arial"/>
      <w:b/>
      <w:bCs/>
      <w:sz w:val="26"/>
      <w:szCs w:val="26"/>
    </w:rPr>
  </w:style>
  <w:style w:type="paragraph" w:styleId="695">
    <w:name w:val="Heading 5"/>
    <w:basedOn w:val="865"/>
    <w:next w:val="865"/>
    <w:link w:val="696"/>
    <w:qFormat/>
    <w:uiPriority w:val="9"/>
    <w:unhideWhenUsed/>
    <w:rPr>
      <w:rFonts w:ascii="Arial" w:hAnsi="Arial" w:cs="Arial" w:eastAsia="Arial"/>
      <w:b/>
      <w:bCs/>
      <w:sz w:val="24"/>
      <w:szCs w:val="24"/>
    </w:rPr>
    <w:pPr>
      <w:keepLines/>
      <w:keepNext/>
      <w:spacing w:after="200" w:before="320"/>
      <w:outlineLvl w:val="4"/>
    </w:pPr>
  </w:style>
  <w:style w:type="character" w:styleId="696">
    <w:name w:val="Heading 5 Char"/>
    <w:basedOn w:val="866"/>
    <w:link w:val="695"/>
    <w:uiPriority w:val="9"/>
    <w:rPr>
      <w:rFonts w:ascii="Arial" w:hAnsi="Arial" w:cs="Arial" w:eastAsia="Arial"/>
      <w:b/>
      <w:bCs/>
      <w:sz w:val="24"/>
      <w:szCs w:val="24"/>
    </w:rPr>
  </w:style>
  <w:style w:type="paragraph" w:styleId="697">
    <w:name w:val="Heading 6"/>
    <w:basedOn w:val="865"/>
    <w:next w:val="865"/>
    <w:link w:val="698"/>
    <w:qFormat/>
    <w:uiPriority w:val="9"/>
    <w:unhideWhenUsed/>
    <w:rPr>
      <w:rFonts w:ascii="Arial" w:hAnsi="Arial" w:cs="Arial" w:eastAsia="Arial"/>
      <w:b/>
      <w:bCs/>
      <w:sz w:val="22"/>
      <w:szCs w:val="22"/>
    </w:rPr>
    <w:pPr>
      <w:keepLines/>
      <w:keepNext/>
      <w:spacing w:after="200" w:before="320"/>
      <w:outlineLvl w:val="5"/>
    </w:pPr>
  </w:style>
  <w:style w:type="character" w:styleId="698">
    <w:name w:val="Heading 6 Char"/>
    <w:basedOn w:val="866"/>
    <w:link w:val="697"/>
    <w:uiPriority w:val="9"/>
    <w:rPr>
      <w:rFonts w:ascii="Arial" w:hAnsi="Arial" w:cs="Arial" w:eastAsia="Arial"/>
      <w:b/>
      <w:bCs/>
      <w:sz w:val="22"/>
      <w:szCs w:val="22"/>
    </w:rPr>
  </w:style>
  <w:style w:type="paragraph" w:styleId="699">
    <w:name w:val="Heading 7"/>
    <w:basedOn w:val="865"/>
    <w:next w:val="865"/>
    <w:link w:val="700"/>
    <w:qFormat/>
    <w:uiPriority w:val="9"/>
    <w:unhideWhenUsed/>
    <w:rPr>
      <w:rFonts w:ascii="Arial" w:hAnsi="Arial" w:cs="Arial" w:eastAsia="Arial"/>
      <w:b/>
      <w:bCs/>
      <w:i/>
      <w:iCs/>
      <w:sz w:val="22"/>
      <w:szCs w:val="22"/>
    </w:rPr>
    <w:pPr>
      <w:keepLines/>
      <w:keepNext/>
      <w:spacing w:after="200" w:before="320"/>
      <w:outlineLvl w:val="6"/>
    </w:pPr>
  </w:style>
  <w:style w:type="character" w:styleId="700">
    <w:name w:val="Heading 7 Char"/>
    <w:basedOn w:val="866"/>
    <w:link w:val="699"/>
    <w:uiPriority w:val="9"/>
    <w:rPr>
      <w:rFonts w:ascii="Arial" w:hAnsi="Arial" w:cs="Arial" w:eastAsia="Arial"/>
      <w:b/>
      <w:bCs/>
      <w:i/>
      <w:iCs/>
      <w:sz w:val="22"/>
      <w:szCs w:val="22"/>
    </w:rPr>
  </w:style>
  <w:style w:type="paragraph" w:styleId="701">
    <w:name w:val="Heading 8"/>
    <w:basedOn w:val="865"/>
    <w:next w:val="865"/>
    <w:link w:val="702"/>
    <w:qFormat/>
    <w:uiPriority w:val="9"/>
    <w:unhideWhenUsed/>
    <w:rPr>
      <w:rFonts w:ascii="Arial" w:hAnsi="Arial" w:cs="Arial" w:eastAsia="Arial"/>
      <w:i/>
      <w:iCs/>
      <w:sz w:val="22"/>
      <w:szCs w:val="22"/>
    </w:rPr>
    <w:pPr>
      <w:keepLines/>
      <w:keepNext/>
      <w:spacing w:after="200" w:before="320"/>
      <w:outlineLvl w:val="7"/>
    </w:pPr>
  </w:style>
  <w:style w:type="character" w:styleId="702">
    <w:name w:val="Heading 8 Char"/>
    <w:basedOn w:val="866"/>
    <w:link w:val="701"/>
    <w:uiPriority w:val="9"/>
    <w:rPr>
      <w:rFonts w:ascii="Arial" w:hAnsi="Arial" w:cs="Arial" w:eastAsia="Arial"/>
      <w:i/>
      <w:iCs/>
      <w:sz w:val="22"/>
      <w:szCs w:val="22"/>
    </w:rPr>
  </w:style>
  <w:style w:type="paragraph" w:styleId="703">
    <w:name w:val="Heading 9"/>
    <w:basedOn w:val="865"/>
    <w:next w:val="865"/>
    <w:link w:val="704"/>
    <w:qFormat/>
    <w:uiPriority w:val="9"/>
    <w:unhideWhenUsed/>
    <w:rPr>
      <w:rFonts w:ascii="Arial" w:hAnsi="Arial" w:cs="Arial" w:eastAsia="Arial"/>
      <w:i/>
      <w:iCs/>
      <w:sz w:val="21"/>
      <w:szCs w:val="21"/>
    </w:rPr>
    <w:pPr>
      <w:keepLines/>
      <w:keepNext/>
      <w:spacing w:after="200" w:before="320"/>
      <w:outlineLvl w:val="8"/>
    </w:pPr>
  </w:style>
  <w:style w:type="character" w:styleId="704">
    <w:name w:val="Heading 9 Char"/>
    <w:basedOn w:val="866"/>
    <w:link w:val="703"/>
    <w:uiPriority w:val="9"/>
    <w:rPr>
      <w:rFonts w:ascii="Arial" w:hAnsi="Arial" w:cs="Arial" w:eastAsia="Arial"/>
      <w:i/>
      <w:iCs/>
      <w:sz w:val="21"/>
      <w:szCs w:val="21"/>
    </w:rPr>
  </w:style>
  <w:style w:type="paragraph" w:styleId="705">
    <w:name w:val="List Paragraph"/>
    <w:basedOn w:val="865"/>
    <w:qFormat/>
    <w:uiPriority w:val="34"/>
    <w:pPr>
      <w:contextualSpacing w:val="true"/>
      <w:ind w:left="720"/>
    </w:pPr>
  </w:style>
  <w:style w:type="paragraph" w:styleId="706">
    <w:name w:val="No Spacing"/>
    <w:qFormat/>
    <w:uiPriority w:val="1"/>
    <w:pPr>
      <w:spacing w:lineRule="auto" w:line="240" w:after="0" w:before="0"/>
    </w:pPr>
  </w:style>
  <w:style w:type="paragraph" w:styleId="707">
    <w:name w:val="Title"/>
    <w:basedOn w:val="865"/>
    <w:next w:val="865"/>
    <w:link w:val="708"/>
    <w:qFormat/>
    <w:uiPriority w:val="10"/>
    <w:rPr>
      <w:sz w:val="48"/>
      <w:szCs w:val="48"/>
    </w:rPr>
    <w:pPr>
      <w:contextualSpacing w:val="true"/>
      <w:spacing w:after="200" w:before="300"/>
    </w:pPr>
  </w:style>
  <w:style w:type="character" w:styleId="708">
    <w:name w:val="Title Char"/>
    <w:basedOn w:val="866"/>
    <w:link w:val="707"/>
    <w:uiPriority w:val="10"/>
    <w:rPr>
      <w:sz w:val="48"/>
      <w:szCs w:val="48"/>
    </w:rPr>
  </w:style>
  <w:style w:type="paragraph" w:styleId="709">
    <w:name w:val="Subtitle"/>
    <w:basedOn w:val="865"/>
    <w:next w:val="865"/>
    <w:link w:val="710"/>
    <w:qFormat/>
    <w:uiPriority w:val="11"/>
    <w:rPr>
      <w:sz w:val="24"/>
      <w:szCs w:val="24"/>
    </w:rPr>
    <w:pPr>
      <w:spacing w:after="200" w:before="200"/>
    </w:pPr>
  </w:style>
  <w:style w:type="character" w:styleId="710">
    <w:name w:val="Subtitle Char"/>
    <w:basedOn w:val="866"/>
    <w:link w:val="709"/>
    <w:uiPriority w:val="11"/>
    <w:rPr>
      <w:sz w:val="24"/>
      <w:szCs w:val="24"/>
    </w:rPr>
  </w:style>
  <w:style w:type="paragraph" w:styleId="711">
    <w:name w:val="Quote"/>
    <w:basedOn w:val="865"/>
    <w:next w:val="865"/>
    <w:link w:val="712"/>
    <w:qFormat/>
    <w:uiPriority w:val="29"/>
    <w:rPr>
      <w:i/>
    </w:rPr>
    <w:pPr>
      <w:ind w:left="720" w:right="720"/>
    </w:pPr>
  </w:style>
  <w:style w:type="character" w:styleId="712">
    <w:name w:val="Quote Char"/>
    <w:link w:val="711"/>
    <w:uiPriority w:val="29"/>
    <w:rPr>
      <w:i/>
    </w:rPr>
  </w:style>
  <w:style w:type="paragraph" w:styleId="713">
    <w:name w:val="Intense Quote"/>
    <w:basedOn w:val="865"/>
    <w:next w:val="865"/>
    <w:link w:val="714"/>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4">
    <w:name w:val="Intense Quote Char"/>
    <w:link w:val="713"/>
    <w:uiPriority w:val="30"/>
    <w:rPr>
      <w:i/>
    </w:rPr>
  </w:style>
  <w:style w:type="paragraph" w:styleId="715">
    <w:name w:val="Header"/>
    <w:basedOn w:val="865"/>
    <w:link w:val="716"/>
    <w:uiPriority w:val="99"/>
    <w:unhideWhenUsed/>
    <w:pPr>
      <w:spacing w:lineRule="auto" w:line="240" w:after="0"/>
      <w:tabs>
        <w:tab w:val="center" w:pos="7143" w:leader="none"/>
        <w:tab w:val="right" w:pos="14287" w:leader="none"/>
      </w:tabs>
    </w:pPr>
  </w:style>
  <w:style w:type="character" w:styleId="716">
    <w:name w:val="Header Char"/>
    <w:basedOn w:val="866"/>
    <w:link w:val="715"/>
    <w:uiPriority w:val="99"/>
  </w:style>
  <w:style w:type="paragraph" w:styleId="717">
    <w:name w:val="Footer"/>
    <w:basedOn w:val="865"/>
    <w:link w:val="720"/>
    <w:uiPriority w:val="99"/>
    <w:unhideWhenUsed/>
    <w:pPr>
      <w:spacing w:lineRule="auto" w:line="240" w:after="0"/>
      <w:tabs>
        <w:tab w:val="center" w:pos="7143" w:leader="none"/>
        <w:tab w:val="right" w:pos="14287" w:leader="none"/>
      </w:tabs>
    </w:pPr>
  </w:style>
  <w:style w:type="character" w:styleId="718">
    <w:name w:val="Footer Char"/>
    <w:basedOn w:val="866"/>
    <w:link w:val="717"/>
    <w:uiPriority w:val="99"/>
  </w:style>
  <w:style w:type="paragraph" w:styleId="719">
    <w:name w:val="Caption"/>
    <w:basedOn w:val="865"/>
    <w:next w:val="865"/>
    <w:qFormat/>
    <w:uiPriority w:val="35"/>
    <w:semiHidden/>
    <w:unhideWhenUsed/>
    <w:rPr>
      <w:b/>
      <w:bCs/>
      <w:color w:val="4F81BD" w:themeColor="accent1"/>
      <w:sz w:val="18"/>
      <w:szCs w:val="18"/>
    </w:rPr>
    <w:pPr>
      <w:spacing w:lineRule="auto" w:line="276"/>
    </w:pPr>
  </w:style>
  <w:style w:type="character" w:styleId="720">
    <w:name w:val="Caption Char"/>
    <w:basedOn w:val="719"/>
    <w:link w:val="717"/>
    <w:uiPriority w:val="99"/>
  </w:style>
  <w:style w:type="table" w:styleId="721">
    <w:name w:val="Table Grid"/>
    <w:basedOn w:val="86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2">
    <w:name w:val="Table Grid Light"/>
    <w:basedOn w:val="8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3">
    <w:name w:val="Plain Table 1"/>
    <w:basedOn w:val="8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4">
    <w:name w:val="Plain Table 2"/>
    <w:basedOn w:val="86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5">
    <w:name w:val="Plain Table 3"/>
    <w:basedOn w:val="8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6">
    <w:name w:val="Plain Table 4"/>
    <w:basedOn w:val="8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7">
    <w:name w:val="Plain Table 5"/>
    <w:basedOn w:val="8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8">
    <w:name w:val="Grid Table 1 Light"/>
    <w:basedOn w:val="86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9">
    <w:name w:val="Grid Table 1 Light - Accent 1"/>
    <w:basedOn w:val="86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30">
    <w:name w:val="Grid Table 1 Light - Accent 2"/>
    <w:basedOn w:val="86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31">
    <w:name w:val="Grid Table 1 Light - Accent 3"/>
    <w:basedOn w:val="86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32">
    <w:name w:val="Grid Table 1 Light - Accent 4"/>
    <w:basedOn w:val="86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3">
    <w:name w:val="Grid Table 1 Light - Accent 5"/>
    <w:basedOn w:val="86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4">
    <w:name w:val="Grid Table 1 Light - Accent 6"/>
    <w:basedOn w:val="86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5">
    <w:name w:val="Grid Table 2"/>
    <w:basedOn w:val="8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6">
    <w:name w:val="Grid Table 2 - Accent 1"/>
    <w:basedOn w:val="8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7">
    <w:name w:val="Grid Table 2 - Accent 2"/>
    <w:basedOn w:val="8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8">
    <w:name w:val="Grid Table 2 - Accent 3"/>
    <w:basedOn w:val="8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9">
    <w:name w:val="Grid Table 2 - Accent 4"/>
    <w:basedOn w:val="8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40">
    <w:name w:val="Grid Table 2 - Accent 5"/>
    <w:basedOn w:val="8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41">
    <w:name w:val="Grid Table 2 - Accent 6"/>
    <w:basedOn w:val="8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42">
    <w:name w:val="Grid Table 3"/>
    <w:basedOn w:val="8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1"/>
    <w:basedOn w:val="8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2"/>
    <w:basedOn w:val="8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3 - Accent 3"/>
    <w:basedOn w:val="8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6">
    <w:name w:val="Grid Table 3 - Accent 4"/>
    <w:basedOn w:val="8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7">
    <w:name w:val="Grid Table 3 - Accent 5"/>
    <w:basedOn w:val="8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8">
    <w:name w:val="Grid Table 3 - Accent 6"/>
    <w:basedOn w:val="8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9">
    <w:name w:val="Grid Table 4"/>
    <w:basedOn w:val="86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0">
    <w:name w:val="Grid Table 4 - Accent 1"/>
    <w:basedOn w:val="86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51">
    <w:name w:val="Grid Table 4 - Accent 2"/>
    <w:basedOn w:val="86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2">
    <w:name w:val="Grid Table 4 - Accent 3"/>
    <w:basedOn w:val="86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3">
    <w:name w:val="Grid Table 4 - Accent 4"/>
    <w:basedOn w:val="86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4">
    <w:name w:val="Grid Table 4 - Accent 5"/>
    <w:basedOn w:val="86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5">
    <w:name w:val="Grid Table 4 - Accent 6"/>
    <w:basedOn w:val="86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6">
    <w:name w:val="Grid Table 5 Dark"/>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7">
    <w:name w:val="Grid Table 5 Dark- Accent 1"/>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8">
    <w:name w:val="Grid Table 5 Dark - Accent 2"/>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9">
    <w:name w:val="Grid Table 5 Dark - Accent 3"/>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60">
    <w:name w:val="Grid Table 5 Dark- Accent 4"/>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61">
    <w:name w:val="Grid Table 5 Dark - Accent 5"/>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62">
    <w:name w:val="Grid Table 5 Dark - Accent 6"/>
    <w:basedOn w:val="8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3">
    <w:name w:val="Grid Table 6 Colorful"/>
    <w:basedOn w:val="86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4">
    <w:name w:val="Grid Table 6 Colorful - Accent 1"/>
    <w:basedOn w:val="86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5">
    <w:name w:val="Grid Table 6 Colorful - Accent 2"/>
    <w:basedOn w:val="8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6">
    <w:name w:val="Grid Table 6 Colorful - Accent 3"/>
    <w:basedOn w:val="86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7">
    <w:name w:val="Grid Table 6 Colorful - Accent 4"/>
    <w:basedOn w:val="8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8">
    <w:name w:val="Grid Table 6 Colorful - Accent 5"/>
    <w:basedOn w:val="86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9">
    <w:name w:val="Grid Table 6 Colorful - Accent 6"/>
    <w:basedOn w:val="86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0">
    <w:name w:val="Grid Table 7 Colorful"/>
    <w:basedOn w:val="86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71">
    <w:name w:val="Grid Table 7 Colorful - Accent 1"/>
    <w:basedOn w:val="86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72">
    <w:name w:val="Grid Table 7 Colorful - Accent 2"/>
    <w:basedOn w:val="86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3">
    <w:name w:val="Grid Table 7 Colorful - Accent 3"/>
    <w:basedOn w:val="86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4">
    <w:name w:val="Grid Table 7 Colorful - Accent 4"/>
    <w:basedOn w:val="86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5">
    <w:name w:val="Grid Table 7 Colorful - Accent 5"/>
    <w:basedOn w:val="86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6">
    <w:name w:val="Grid Table 7 Colorful - Accent 6"/>
    <w:basedOn w:val="86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7">
    <w:name w:val="List Table 1 Light"/>
    <w:basedOn w:val="86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8">
    <w:name w:val="List Table 1 Light - Accent 1"/>
    <w:basedOn w:val="867"/>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9">
    <w:name w:val="List Table 1 Light - Accent 2"/>
    <w:basedOn w:val="867"/>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80">
    <w:name w:val="List Table 1 Light - Accent 3"/>
    <w:basedOn w:val="867"/>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81">
    <w:name w:val="List Table 1 Light - Accent 4"/>
    <w:basedOn w:val="867"/>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82">
    <w:name w:val="List Table 1 Light - Accent 5"/>
    <w:basedOn w:val="867"/>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3">
    <w:name w:val="List Table 1 Light - Accent 6"/>
    <w:basedOn w:val="867"/>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4">
    <w:name w:val="List Table 2"/>
    <w:basedOn w:val="86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5">
    <w:name w:val="List Table 2 - Accent 1"/>
    <w:basedOn w:val="86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6">
    <w:name w:val="List Table 2 - Accent 2"/>
    <w:basedOn w:val="86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7">
    <w:name w:val="List Table 2 - Accent 3"/>
    <w:basedOn w:val="86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8">
    <w:name w:val="List Table 2 - Accent 4"/>
    <w:basedOn w:val="86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9">
    <w:name w:val="List Table 2 - Accent 5"/>
    <w:basedOn w:val="86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90">
    <w:name w:val="List Table 2 - Accent 6"/>
    <w:basedOn w:val="86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91">
    <w:name w:val="List Table 3"/>
    <w:basedOn w:val="8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2">
    <w:name w:val="List Table 3 - Accent 1"/>
    <w:basedOn w:val="86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3">
    <w:name w:val="List Table 3 - Accent 2"/>
    <w:basedOn w:val="8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4">
    <w:name w:val="List Table 3 - Accent 3"/>
    <w:basedOn w:val="86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5">
    <w:name w:val="List Table 3 - Accent 4"/>
    <w:basedOn w:val="8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6">
    <w:name w:val="List Table 3 - Accent 5"/>
    <w:basedOn w:val="86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7">
    <w:name w:val="List Table 3 - Accent 6"/>
    <w:basedOn w:val="86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8">
    <w:name w:val="List Table 4"/>
    <w:basedOn w:val="8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9">
    <w:name w:val="List Table 4 - Accent 1"/>
    <w:basedOn w:val="86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0">
    <w:name w:val="List Table 4 - Accent 2"/>
    <w:basedOn w:val="86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01">
    <w:name w:val="List Table 4 - Accent 3"/>
    <w:basedOn w:val="86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02">
    <w:name w:val="List Table 4 - Accent 4"/>
    <w:basedOn w:val="86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3">
    <w:name w:val="List Table 4 - Accent 5"/>
    <w:basedOn w:val="86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4">
    <w:name w:val="List Table 4 - Accent 6"/>
    <w:basedOn w:val="86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5">
    <w:name w:val="List Table 5 Dark"/>
    <w:basedOn w:val="86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1"/>
    <w:basedOn w:val="86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2"/>
    <w:basedOn w:val="86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3"/>
    <w:basedOn w:val="86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5 Dark - Accent 4"/>
    <w:basedOn w:val="86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0">
    <w:name w:val="List Table 5 Dark - Accent 5"/>
    <w:basedOn w:val="86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1">
    <w:name w:val="List Table 5 Dark - Accent 6"/>
    <w:basedOn w:val="86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2">
    <w:name w:val="List Table 6 Colorful"/>
    <w:basedOn w:val="86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3">
    <w:name w:val="List Table 6 Colorful - Accent 1"/>
    <w:basedOn w:val="86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4">
    <w:name w:val="List Table 6 Colorful - Accent 2"/>
    <w:basedOn w:val="86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5">
    <w:name w:val="List Table 6 Colorful - Accent 3"/>
    <w:basedOn w:val="86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6">
    <w:name w:val="List Table 6 Colorful - Accent 4"/>
    <w:basedOn w:val="86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7">
    <w:name w:val="List Table 6 Colorful - Accent 5"/>
    <w:basedOn w:val="86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8">
    <w:name w:val="List Table 6 Colorful - Accent 6"/>
    <w:basedOn w:val="86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9">
    <w:name w:val="List Table 7 Colorful"/>
    <w:basedOn w:val="86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20">
    <w:name w:val="List Table 7 Colorful - Accent 1"/>
    <w:basedOn w:val="86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21">
    <w:name w:val="List Table 7 Colorful - Accent 2"/>
    <w:basedOn w:val="86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22">
    <w:name w:val="List Table 7 Colorful - Accent 3"/>
    <w:basedOn w:val="86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23">
    <w:name w:val="List Table 7 Colorful - Accent 4"/>
    <w:basedOn w:val="86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4">
    <w:name w:val="List Table 7 Colorful - Accent 5"/>
    <w:basedOn w:val="86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5">
    <w:name w:val="List Table 7 Colorful - Accent 6"/>
    <w:basedOn w:val="86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6">
    <w:name w:val="Lined - Accent"/>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7">
    <w:name w:val="Lined - Accent 1"/>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8">
    <w:name w:val="Lined - Accent 2"/>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9">
    <w:name w:val="Lined - Accent 3"/>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0">
    <w:name w:val="Lined - Accent 4"/>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1">
    <w:name w:val="Lined - Accent 5"/>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2">
    <w:name w:val="Lined - Accent 6"/>
    <w:basedOn w:val="8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3">
    <w:name w:val="Bordered &amp; Lined - Accent"/>
    <w:basedOn w:val="86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4">
    <w:name w:val="Bordered &amp; Lined - Accent 1"/>
    <w:basedOn w:val="86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5">
    <w:name w:val="Bordered &amp; Lined - Accent 2"/>
    <w:basedOn w:val="86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6">
    <w:name w:val="Bordered &amp; Lined - Accent 3"/>
    <w:basedOn w:val="86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7">
    <w:name w:val="Bordered &amp; Lined - Accent 4"/>
    <w:basedOn w:val="86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8">
    <w:name w:val="Bordered &amp; Lined - Accent 5"/>
    <w:basedOn w:val="86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9">
    <w:name w:val="Bordered &amp; Lined - Accent 6"/>
    <w:basedOn w:val="86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0">
    <w:name w:val="Bordered"/>
    <w:basedOn w:val="86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41">
    <w:name w:val="Bordered - Accent 1"/>
    <w:basedOn w:val="86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42">
    <w:name w:val="Bordered - Accent 2"/>
    <w:basedOn w:val="86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3">
    <w:name w:val="Bordered - Accent 3"/>
    <w:basedOn w:val="86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4">
    <w:name w:val="Bordered - Accent 4"/>
    <w:basedOn w:val="86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5">
    <w:name w:val="Bordered - Accent 5"/>
    <w:basedOn w:val="86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6">
    <w:name w:val="Bordered - Accent 6"/>
    <w:basedOn w:val="86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7">
    <w:name w:val="Hyperlink"/>
    <w:uiPriority w:val="99"/>
    <w:unhideWhenUsed/>
    <w:rPr>
      <w:color w:val="0000FF" w:themeColor="hyperlink"/>
      <w:u w:val="single"/>
    </w:rPr>
  </w:style>
  <w:style w:type="paragraph" w:styleId="848">
    <w:name w:val="footnote text"/>
    <w:basedOn w:val="865"/>
    <w:link w:val="849"/>
    <w:uiPriority w:val="99"/>
    <w:semiHidden/>
    <w:unhideWhenUsed/>
    <w:rPr>
      <w:sz w:val="18"/>
    </w:rPr>
    <w:pPr>
      <w:spacing w:lineRule="auto" w:line="240" w:after="40"/>
    </w:pPr>
  </w:style>
  <w:style w:type="character" w:styleId="849">
    <w:name w:val="Footnote Text Char"/>
    <w:link w:val="848"/>
    <w:uiPriority w:val="99"/>
    <w:rPr>
      <w:sz w:val="18"/>
    </w:rPr>
  </w:style>
  <w:style w:type="character" w:styleId="850">
    <w:name w:val="footnote reference"/>
    <w:basedOn w:val="866"/>
    <w:uiPriority w:val="99"/>
    <w:unhideWhenUsed/>
    <w:rPr>
      <w:vertAlign w:val="superscript"/>
    </w:rPr>
  </w:style>
  <w:style w:type="paragraph" w:styleId="851">
    <w:name w:val="endnote text"/>
    <w:basedOn w:val="865"/>
    <w:link w:val="852"/>
    <w:uiPriority w:val="99"/>
    <w:semiHidden/>
    <w:unhideWhenUsed/>
    <w:rPr>
      <w:sz w:val="20"/>
    </w:rPr>
    <w:pPr>
      <w:spacing w:lineRule="auto" w:line="240" w:after="0"/>
    </w:pPr>
  </w:style>
  <w:style w:type="character" w:styleId="852">
    <w:name w:val="Endnote Text Char"/>
    <w:link w:val="851"/>
    <w:uiPriority w:val="99"/>
    <w:rPr>
      <w:sz w:val="20"/>
    </w:rPr>
  </w:style>
  <w:style w:type="character" w:styleId="853">
    <w:name w:val="endnote reference"/>
    <w:basedOn w:val="866"/>
    <w:uiPriority w:val="99"/>
    <w:semiHidden/>
    <w:unhideWhenUsed/>
    <w:rPr>
      <w:vertAlign w:val="superscript"/>
    </w:rPr>
  </w:style>
  <w:style w:type="paragraph" w:styleId="854">
    <w:name w:val="toc 1"/>
    <w:basedOn w:val="865"/>
    <w:next w:val="865"/>
    <w:uiPriority w:val="39"/>
    <w:unhideWhenUsed/>
    <w:pPr>
      <w:ind w:left="0" w:right="0" w:firstLine="0"/>
      <w:spacing w:after="57"/>
    </w:pPr>
  </w:style>
  <w:style w:type="paragraph" w:styleId="855">
    <w:name w:val="toc 2"/>
    <w:basedOn w:val="865"/>
    <w:next w:val="865"/>
    <w:uiPriority w:val="39"/>
    <w:unhideWhenUsed/>
    <w:pPr>
      <w:ind w:left="283" w:right="0" w:firstLine="0"/>
      <w:spacing w:after="57"/>
    </w:pPr>
  </w:style>
  <w:style w:type="paragraph" w:styleId="856">
    <w:name w:val="toc 3"/>
    <w:basedOn w:val="865"/>
    <w:next w:val="865"/>
    <w:uiPriority w:val="39"/>
    <w:unhideWhenUsed/>
    <w:pPr>
      <w:ind w:left="567" w:right="0" w:firstLine="0"/>
      <w:spacing w:after="57"/>
    </w:pPr>
  </w:style>
  <w:style w:type="paragraph" w:styleId="857">
    <w:name w:val="toc 4"/>
    <w:basedOn w:val="865"/>
    <w:next w:val="865"/>
    <w:uiPriority w:val="39"/>
    <w:unhideWhenUsed/>
    <w:pPr>
      <w:ind w:left="850" w:right="0" w:firstLine="0"/>
      <w:spacing w:after="57"/>
    </w:pPr>
  </w:style>
  <w:style w:type="paragraph" w:styleId="858">
    <w:name w:val="toc 5"/>
    <w:basedOn w:val="865"/>
    <w:next w:val="865"/>
    <w:uiPriority w:val="39"/>
    <w:unhideWhenUsed/>
    <w:pPr>
      <w:ind w:left="1134" w:right="0" w:firstLine="0"/>
      <w:spacing w:after="57"/>
    </w:pPr>
  </w:style>
  <w:style w:type="paragraph" w:styleId="859">
    <w:name w:val="toc 6"/>
    <w:basedOn w:val="865"/>
    <w:next w:val="865"/>
    <w:uiPriority w:val="39"/>
    <w:unhideWhenUsed/>
    <w:pPr>
      <w:ind w:left="1417" w:right="0" w:firstLine="0"/>
      <w:spacing w:after="57"/>
    </w:pPr>
  </w:style>
  <w:style w:type="paragraph" w:styleId="860">
    <w:name w:val="toc 7"/>
    <w:basedOn w:val="865"/>
    <w:next w:val="865"/>
    <w:uiPriority w:val="39"/>
    <w:unhideWhenUsed/>
    <w:pPr>
      <w:ind w:left="1701" w:right="0" w:firstLine="0"/>
      <w:spacing w:after="57"/>
    </w:pPr>
  </w:style>
  <w:style w:type="paragraph" w:styleId="861">
    <w:name w:val="toc 8"/>
    <w:basedOn w:val="865"/>
    <w:next w:val="865"/>
    <w:uiPriority w:val="39"/>
    <w:unhideWhenUsed/>
    <w:pPr>
      <w:ind w:left="1984" w:right="0" w:firstLine="0"/>
      <w:spacing w:after="57"/>
    </w:pPr>
  </w:style>
  <w:style w:type="paragraph" w:styleId="862">
    <w:name w:val="toc 9"/>
    <w:basedOn w:val="865"/>
    <w:next w:val="865"/>
    <w:uiPriority w:val="39"/>
    <w:unhideWhenUsed/>
    <w:pPr>
      <w:ind w:left="2268" w:right="0" w:firstLine="0"/>
      <w:spacing w:after="57"/>
    </w:pPr>
  </w:style>
  <w:style w:type="paragraph" w:styleId="863">
    <w:name w:val="TOC Heading"/>
    <w:uiPriority w:val="39"/>
    <w:unhideWhenUsed/>
  </w:style>
  <w:style w:type="paragraph" w:styleId="864">
    <w:name w:val="table of figures"/>
    <w:basedOn w:val="865"/>
    <w:next w:val="865"/>
    <w:uiPriority w:val="99"/>
    <w:unhideWhenUsed/>
    <w:pPr>
      <w:spacing w:after="0" w:afterAutospacing="0"/>
    </w:pPr>
  </w:style>
  <w:style w:type="paragraph" w:styleId="865" w:default="1">
    <w:name w:val="Normal"/>
    <w:qFormat/>
    <w:rPr>
      <w:rFonts w:ascii="Times New Roman" w:hAnsi="Times New Roman"/>
      <w:color w:val="000000"/>
      <w:sz w:val="28"/>
      <w:szCs w:val="22"/>
    </w:rPr>
    <w:pPr>
      <w:ind w:left="2231" w:hanging="10"/>
      <w:jc w:val="both"/>
      <w:spacing w:lineRule="auto" w:line="249" w:after="5"/>
    </w:pPr>
  </w:style>
  <w:style w:type="character" w:styleId="866" w:default="1">
    <w:name w:val="Default Paragraph Font"/>
    <w:uiPriority w:val="1"/>
    <w:semiHidden/>
    <w:unhideWhenUsed/>
  </w:style>
  <w:style w:type="table" w:styleId="867" w:default="1">
    <w:name w:val="Normal Table"/>
    <w:uiPriority w:val="99"/>
    <w:semiHidden/>
    <w:unhideWhenUsed/>
    <w:tblPr>
      <w:tblInd w:w="0" w:type="dxa"/>
      <w:tblCellMar>
        <w:left w:w="108" w:type="dxa"/>
        <w:top w:w="0" w:type="dxa"/>
        <w:right w:w="108" w:type="dxa"/>
        <w:bottom w:w="0" w:type="dxa"/>
      </w:tblCellMar>
    </w:tblPr>
  </w:style>
  <w:style w:type="numbering" w:styleId="868"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ПРИМАКОВ Геннадій Анатолійович</cp:lastModifiedBy>
  <cp:revision>17</cp:revision>
  <dcterms:created xsi:type="dcterms:W3CDTF">2022-12-01T08:01:00Z</dcterms:created>
  <dcterms:modified xsi:type="dcterms:W3CDTF">2022-12-22T18:33:13Z</dcterms:modified>
</cp:coreProperties>
</file>