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ПРОГРАМА РОЗВИТКУ ЗЕМЕЛЬНИХ ВІДНОСИН </w:t>
      </w:r>
      <w:r/>
    </w:p>
    <w:p>
      <w:pPr>
        <w:pStyle w:val="9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МЕНСЬКОЇ МІСЬКОЇ </w:t>
      </w:r>
      <w:r>
        <w:rPr>
          <w:rFonts w:ascii="Times New Roman" w:hAnsi="Times New Roman" w:cs="Times New Roman"/>
          <w:sz w:val="32"/>
          <w:szCs w:val="32"/>
        </w:rPr>
        <w:t xml:space="preserve">ТЕ</w:t>
      </w:r>
      <w:r>
        <w:rPr>
          <w:rFonts w:ascii="Times New Roman" w:hAnsi="Times New Roman" w:cs="Times New Roman"/>
          <w:sz w:val="32"/>
          <w:szCs w:val="32"/>
        </w:rPr>
        <w:t xml:space="preserve">РИТОРІАЛЬНОЇ ГРОМАДИ </w:t>
      </w:r>
      <w:r/>
    </w:p>
    <w:p>
      <w:pPr>
        <w:pStyle w:val="91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2023-2025 РОКИ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МЕНА - 2022</w:t>
      </w:r>
      <w:r/>
    </w:p>
    <w:p>
      <w:pPr>
        <w:pStyle w:val="9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ПРОГРАМИ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917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806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Програма розвитку земельних відносин</w:t>
            </w:r>
            <w:r/>
          </w:p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менської міської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риторіальної громади</w:t>
            </w:r>
            <w:r/>
          </w:p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2023-2025 роки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Підстава для розроблення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кодекс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жетний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Водний кодекс України, Лісовий кодекс України,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України «Про землеустрій», «Про охорону земель», «Про оцінку земель», «Про Державний земельний кадастр»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Основні цілі Програми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творення ефективного механізму регулювання земельних відносин та управління земельними ресурсами, раціонального використання та охорони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запровадження ефективних механізмів ринку землі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Ініціатор розроблення Програми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земельних відносин, агропромислового</w:t>
            </w:r>
            <w:r/>
          </w:p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комплексу та екології Менської міської рад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земельних відносин, агропромислового</w:t>
            </w:r>
            <w:r/>
          </w:p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комплексу та екології Менської міської рад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виконавець</w:t>
            </w:r>
            <w:r/>
          </w:p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Програми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земельних відносин, агропромислового</w:t>
            </w:r>
            <w:r/>
          </w:p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комплексу та екології Менської міської рад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рада, засоби масової інформації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Термін реалізації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роки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Перелік місцевих бюджетів, які</w:t>
            </w:r>
            <w:r/>
          </w:p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уть участь у виконанні Програми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Менська міська територіальна громада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інші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джерел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які не заборонені чинним законодавством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</w:t>
            </w:r>
            <w:r/>
          </w:p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для реалізації Програми,</w:t>
            </w:r>
            <w:r/>
          </w:p>
          <w:p>
            <w:pPr>
              <w:pStyle w:val="9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всього</w:t>
            </w:r>
            <w:r/>
          </w:p>
        </w:tc>
        <w:tc>
          <w:tcPr>
            <w:tcW w:w="5806" w:type="dxa"/>
            <w:textDirection w:val="lrTb"/>
            <w:noWrap w:val="false"/>
          </w:tcPr>
          <w:p>
            <w:pPr>
              <w:pStyle w:val="9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4 190 000 гривень</w:t>
            </w:r>
            <w:r/>
          </w:p>
        </w:tc>
      </w:tr>
    </w:tbl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</w:t>
      </w:r>
      <w:r>
        <w:rPr>
          <w:rFonts w:ascii="Times New Roman" w:hAnsi="Times New Roman" w:cs="Times New Roman"/>
          <w:b/>
          <w:sz w:val="28"/>
          <w:szCs w:val="28"/>
        </w:rPr>
        <w:t xml:space="preserve">. Загальні положення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Програма розвитку земельних відносин та охорони земель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на 2023</w:t>
      </w:r>
      <w:r>
        <w:rPr>
          <w:rFonts w:ascii="Times New Roman" w:hAnsi="Times New Roman" w:cs="Times New Roman"/>
          <w:sz w:val="28"/>
          <w:szCs w:val="28"/>
        </w:rPr>
        <w:t xml:space="preserve">-2025 роки (далі – Програма) розроблена згідно із Земельним</w:t>
      </w:r>
      <w:r>
        <w:rPr>
          <w:rFonts w:ascii="Times New Roman" w:hAnsi="Times New Roman" w:cs="Times New Roman"/>
          <w:sz w:val="28"/>
          <w:szCs w:val="28"/>
        </w:rPr>
        <w:t xml:space="preserve">, Водним, Лісовим</w:t>
      </w:r>
      <w:r>
        <w:rPr>
          <w:rFonts w:ascii="Times New Roman" w:hAnsi="Times New Roman" w:cs="Times New Roman"/>
          <w:sz w:val="28"/>
          <w:szCs w:val="28"/>
        </w:rPr>
        <w:t xml:space="preserve"> та Бюджетним кодексами України, Законами України «Про землеустрій», «Про охорону земель», «Про оцінку земель», «Про Державний земельний кадастр», </w:t>
      </w:r>
      <w:r>
        <w:rPr>
          <w:rFonts w:ascii="Times New Roman" w:hAnsi="Times New Roman"/>
          <w:sz w:val="28"/>
          <w:szCs w:val="28"/>
        </w:rPr>
        <w:t xml:space="preserve">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земель», </w:t>
      </w:r>
      <w:r>
        <w:rPr>
          <w:rFonts w:ascii="Times New Roman" w:hAnsi="Times New Roman" w:cs="Times New Roman"/>
          <w:sz w:val="28"/>
          <w:szCs w:val="28"/>
        </w:rPr>
        <w:t xml:space="preserve">з метою здійснення заходів для створення ефективного механізму регулювання земельних відносин та управління земельними ресурсами, раціонального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та охорони земель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запровадження ефективних механізмів ринку землі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виконання Програми має стати підвищення ефективності раціонального використання земель </w:t>
      </w:r>
      <w:r>
        <w:rPr>
          <w:rFonts w:ascii="Times New Roman" w:hAnsi="Times New Roman" w:cs="Times New Roman"/>
          <w:sz w:val="28"/>
          <w:szCs w:val="28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Разом із зростанням інвестиційного </w:t>
      </w:r>
      <w:r>
        <w:rPr>
          <w:rFonts w:ascii="Times New Roman" w:hAnsi="Times New Roman" w:cs="Times New Roman"/>
          <w:sz w:val="28"/>
          <w:szCs w:val="28"/>
        </w:rPr>
        <w:t xml:space="preserve">та виробничого потенціалів землі як самостійного фактору економічного зростання буде завершено здійснення більш важливих заходів і завдань, необхідних для подальшого розвитку земельних відносин, гарантування права власності та права користування  на землю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</w:t>
      </w:r>
      <w:r>
        <w:rPr>
          <w:rFonts w:ascii="Times New Roman" w:hAnsi="Times New Roman" w:cs="Times New Roman"/>
          <w:b/>
          <w:sz w:val="28"/>
          <w:szCs w:val="28"/>
        </w:rPr>
        <w:t xml:space="preserve">. Мета Програми</w:t>
      </w:r>
      <w:r/>
    </w:p>
    <w:p>
      <w:pPr>
        <w:pStyle w:val="9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Основною метою Програми є:</w:t>
      </w:r>
      <w:r/>
    </w:p>
    <w:p>
      <w:pPr>
        <w:pStyle w:val="91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здійснення заходів для створення ефективного механізму регулювання земельних відносин та управління земельними ресурсами, раціонального</w:t>
      </w:r>
      <w:r>
        <w:rPr>
          <w:rFonts w:ascii="Times New Roman" w:hAnsi="Times New Roman" w:cs="Times New Roman"/>
          <w:sz w:val="28"/>
          <w:szCs w:val="28"/>
        </w:rPr>
        <w:t xml:space="preserve"> використання та охорони земель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1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ефективного використання земельних ресурсів, створення оптимальних умов для суттєвого збільшення соціального, інвестиційного і виробничого потенціалів землі, зростання її економічної цінності.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ІІІ</w:t>
      </w:r>
      <w:r>
        <w:rPr>
          <w:rFonts w:ascii="Times New Roman" w:hAnsi="Times New Roman" w:cs="Times New Roman"/>
          <w:b/>
          <w:sz w:val="28"/>
          <w:szCs w:val="28"/>
        </w:rPr>
        <w:t xml:space="preserve">. Основні завдання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рограми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Програмі визначені основні завдання проведення земельної реформи. Програма має сприяти активізації процесу загального розвитку земельних відносин та докорінно поліпшити охорону земельних ресурсів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Ними слід вважати: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аналізу стану використання та охорони земель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інвентаризації земель;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розробка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ктів</w:t>
      </w:r>
      <w:r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</w:t>
      </w:r>
      <w:r>
        <w:rPr>
          <w:rFonts w:ascii="Times New Roman" w:hAnsi="Times New Roman" w:cs="Times New Roman"/>
          <w:sz w:val="28"/>
          <w:szCs w:val="28"/>
        </w:rPr>
        <w:t xml:space="preserve">та зміни меж населених пунктів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запровадження ефективних механізмів ринку землі, у тому числі проведення земельних торгів у формі аукціону;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робіт з нормативно-грошової оцінки земель населених пунктів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експертно-грошових оцінок земельних ділянок що підлягають продажу;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виготовлення проектів землеустрою щодо відведення земельних ділянок комунальної власності;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виготовлення технічних документацій із встановлення-відновлення меж земельних  ділянок комунальної власності;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інвентаризації польових (проектних) доріг, реєстрація права комунальної власності на польові д</w:t>
      </w:r>
      <w:r>
        <w:rPr>
          <w:rFonts w:ascii="Times New Roman" w:hAnsi="Times New Roman" w:cs="Times New Roman"/>
          <w:sz w:val="28"/>
          <w:szCs w:val="28"/>
        </w:rPr>
        <w:t xml:space="preserve">ороги та заключення договорів </w:t>
      </w:r>
      <w:r>
        <w:rPr>
          <w:rFonts w:ascii="Times New Roman" w:hAnsi="Times New Roman" w:cs="Times New Roman"/>
          <w:sz w:val="28"/>
          <w:szCs w:val="28"/>
        </w:rPr>
        <w:t xml:space="preserve">оренди із орендарями земельних часток (паїв);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розроблення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ктів</w:t>
      </w:r>
      <w:r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меж прибережних захисних смуг для забезпечення раціонального використання природоохоронної території з режимом обмеженої господарської діяльності;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розчистка земельних ділянок сільськогосподарського призначення від самосійної дерев’яної рослинності та порослі з метою приведення цих ділянок у стан, придатний для використання їх за цільовим призначенням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замовлення </w:t>
      </w:r>
      <w:r>
        <w:rPr>
          <w:rFonts w:ascii="Times New Roman" w:hAnsi="Times New Roman" w:cs="Times New Roman"/>
          <w:sz w:val="28"/>
          <w:szCs w:val="28"/>
        </w:rPr>
        <w:t xml:space="preserve">робіт з</w:t>
      </w:r>
      <w:r>
        <w:rPr>
          <w:rFonts w:ascii="Times New Roman" w:hAnsi="Times New Roman" w:cs="Times New Roman"/>
          <w:sz w:val="28"/>
          <w:szCs w:val="28"/>
        </w:rPr>
        <w:t xml:space="preserve"> проведення оцінки впливу на довкілля у разі відведення земельної ділянки зі зміною цільового призначення з земель сільськогосподарського призначення (особливо цінних земель) з метою запобігання завдання шкоди довкіллю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робіт з паспортизації водних об’єктів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ґрунтозахисних</w:t>
      </w:r>
      <w:r>
        <w:rPr>
          <w:rFonts w:ascii="Times New Roman" w:hAnsi="Times New Roman" w:cs="Times New Roman"/>
          <w:sz w:val="28"/>
          <w:szCs w:val="28"/>
        </w:rPr>
        <w:t xml:space="preserve"> заходів;</w:t>
      </w:r>
      <w:r/>
    </w:p>
    <w:p>
      <w:pPr>
        <w:pStyle w:val="916"/>
        <w:numPr>
          <w:ilvl w:val="0"/>
          <w:numId w:val="2"/>
        </w:numPr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проєктної</w:t>
      </w:r>
      <w:r>
        <w:rPr>
          <w:rFonts w:ascii="Times New Roman" w:hAnsi="Times New Roman" w:cs="Times New Roman"/>
          <w:sz w:val="28"/>
          <w:szCs w:val="28"/>
        </w:rPr>
        <w:t xml:space="preserve"> документації по встановленню меж об’єктів природно-заповідного фонду.</w:t>
      </w:r>
      <w:r/>
    </w:p>
    <w:p>
      <w:pPr>
        <w:pStyle w:val="916"/>
        <w:ind w:left="207"/>
        <w:jc w:val="both"/>
        <w:rPr>
          <w:rFonts w:ascii="Times New Roman" w:hAnsi="Times New Roman" w:cs="Times New Roman"/>
          <w:b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16"/>
          <w:szCs w:val="16"/>
          <w:lang w:val="ru-RU"/>
        </w:rPr>
      </w:r>
      <w:r/>
    </w:p>
    <w:p>
      <w:pPr>
        <w:pStyle w:val="9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 Очікувані результати виконання програми</w:t>
      </w:r>
      <w:r/>
    </w:p>
    <w:p>
      <w:pPr>
        <w:pStyle w:val="916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/>
    </w:p>
    <w:p>
      <w:pPr>
        <w:pStyle w:val="916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Передбачені Програмою заходи пл</w:t>
      </w:r>
      <w:r>
        <w:rPr>
          <w:rFonts w:ascii="Times New Roman" w:hAnsi="Times New Roman" w:cs="Times New Roman"/>
          <w:sz w:val="28"/>
          <w:szCs w:val="28"/>
        </w:rPr>
        <w:t xml:space="preserve">анується здійснити протягом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2023-2025</w:t>
      </w:r>
      <w:r>
        <w:rPr>
          <w:rFonts w:ascii="Times New Roman" w:hAnsi="Times New Roman" w:cs="Times New Roman"/>
          <w:sz w:val="28"/>
          <w:szCs w:val="28"/>
        </w:rPr>
        <w:t xml:space="preserve"> років.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</w:rPr>
        <w:t xml:space="preserve">визначених Програмою </w:t>
      </w:r>
      <w:r>
        <w:rPr>
          <w:rFonts w:ascii="Times New Roman" w:hAnsi="Times New Roman" w:cs="Times New Roman"/>
          <w:sz w:val="28"/>
          <w:szCs w:val="28"/>
        </w:rPr>
        <w:t xml:space="preserve">робіт дасть змогу упорядкувати відомості про земельні ділянки і землекористувачів, вирішувати питання забудови, планування і зонування, створити реальний банк д</w:t>
      </w:r>
      <w:r>
        <w:rPr>
          <w:rFonts w:ascii="Times New Roman" w:hAnsi="Times New Roman" w:cs="Times New Roman"/>
          <w:sz w:val="28"/>
          <w:szCs w:val="28"/>
        </w:rPr>
        <w:t xml:space="preserve">аних про ринок землі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покращення ситуації з охорони земель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становленням прибережних захисних смуг, дадуть можливість остаточно </w:t>
      </w:r>
      <w:r>
        <w:rPr>
          <w:rFonts w:ascii="Times New Roman" w:hAnsi="Times New Roman" w:cs="Times New Roman"/>
          <w:sz w:val="28"/>
          <w:szCs w:val="28"/>
        </w:rPr>
        <w:t xml:space="preserve">визначити природоохоронну</w:t>
      </w:r>
      <w:r>
        <w:rPr>
          <w:rFonts w:ascii="Times New Roman" w:hAnsi="Times New Roman" w:cs="Times New Roman"/>
          <w:sz w:val="28"/>
          <w:szCs w:val="28"/>
        </w:rPr>
        <w:t xml:space="preserve"> території з режимом обмеженої господарської діяльності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цілому по </w:t>
      </w:r>
      <w:r>
        <w:rPr>
          <w:rFonts w:ascii="Times New Roman" w:hAnsi="Times New Roman" w:cs="Times New Roman"/>
          <w:sz w:val="28"/>
          <w:szCs w:val="28"/>
        </w:rPr>
        <w:t xml:space="preserve">Менській міській територіальній громаді</w:t>
      </w:r>
      <w:r>
        <w:rPr>
          <w:rFonts w:ascii="Times New Roman" w:hAnsi="Times New Roman" w:cs="Times New Roman"/>
          <w:sz w:val="28"/>
          <w:szCs w:val="28"/>
        </w:rPr>
        <w:t xml:space="preserve"> збільшиться надходження коштів до бюджету від сплати земельного податку та оренди землі, зокрема це буде забезпечено проведенням та своєчасним оновлення грошової оцінки, що дозволить збільшити бюджетні н</w:t>
      </w:r>
      <w:r>
        <w:rPr>
          <w:rFonts w:ascii="Times New Roman" w:hAnsi="Times New Roman" w:cs="Times New Roman"/>
          <w:sz w:val="28"/>
          <w:szCs w:val="28"/>
        </w:rPr>
        <w:t xml:space="preserve">адходження від плати за </w:t>
      </w:r>
      <w:r>
        <w:rPr>
          <w:rFonts w:ascii="Times New Roman" w:hAnsi="Times New Roman" w:cs="Times New Roman"/>
          <w:sz w:val="28"/>
          <w:szCs w:val="28"/>
        </w:rPr>
        <w:t xml:space="preserve">землю, </w:t>
      </w:r>
      <w:r>
        <w:rPr>
          <w:rFonts w:ascii="Times New Roman" w:hAnsi="Times New Roman" w:cs="Times New Roman"/>
          <w:sz w:val="28"/>
          <w:szCs w:val="28"/>
        </w:rPr>
        <w:t xml:space="preserve">а для міської  ради це стане гарантією стабільного наповнення місцевого бюдж</w:t>
      </w:r>
      <w:r>
        <w:rPr>
          <w:rFonts w:ascii="Times New Roman" w:hAnsi="Times New Roman" w:cs="Times New Roman"/>
          <w:sz w:val="28"/>
          <w:szCs w:val="28"/>
        </w:rPr>
        <w:t xml:space="preserve">ету на наступні 3</w:t>
      </w:r>
      <w:r>
        <w:rPr>
          <w:rFonts w:ascii="Times New Roman" w:hAnsi="Times New Roman" w:cs="Times New Roman"/>
          <w:sz w:val="28"/>
          <w:szCs w:val="28"/>
        </w:rPr>
        <w:t xml:space="preserve"> років.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Хід виконання заходів Програми та ефективність її реалізації здійснює Менська міська рада.</w:t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V</w:t>
      </w:r>
      <w:r>
        <w:rPr>
          <w:rFonts w:ascii="Times New Roman" w:hAnsi="Times New Roman" w:cs="Times New Roman"/>
          <w:b/>
          <w:sz w:val="28"/>
          <w:szCs w:val="28"/>
        </w:rPr>
        <w:t xml:space="preserve">. Фінансове забезпечення виконання програми</w:t>
      </w:r>
      <w:r/>
    </w:p>
    <w:p>
      <w:pPr>
        <w:pStyle w:val="9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Фінансування П</w:t>
      </w:r>
      <w:r>
        <w:rPr>
          <w:rFonts w:ascii="Times New Roman" w:hAnsi="Times New Roman" w:cs="Times New Roman"/>
          <w:sz w:val="28"/>
          <w:szCs w:val="28"/>
        </w:rPr>
        <w:t xml:space="preserve">рограми здійснюється в межах видатків, затверджених на відповідний рік за відповідним напрямком, виходячи з фінансових можливостей, а також за рахунок </w:t>
      </w:r>
      <w:r>
        <w:rPr>
          <w:rFonts w:ascii="Times New Roman" w:hAnsi="Times New Roman" w:cs="Times New Roman"/>
          <w:sz w:val="28"/>
          <w:szCs w:val="28"/>
        </w:rPr>
        <w:t xml:space="preserve">інших джерел, які не з</w:t>
      </w:r>
      <w:r>
        <w:rPr>
          <w:rFonts w:ascii="Times New Roman" w:hAnsi="Times New Roman" w:cs="Times New Roman"/>
          <w:sz w:val="28"/>
          <w:szCs w:val="28"/>
        </w:rPr>
        <w:t xml:space="preserve">аборонені чинним законодавством.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передбачені Програмою та обсяги ф</w:t>
      </w:r>
      <w:r>
        <w:rPr>
          <w:rFonts w:ascii="Times New Roman" w:hAnsi="Times New Roman" w:cs="Times New Roman"/>
          <w:sz w:val="28"/>
          <w:szCs w:val="28"/>
        </w:rPr>
        <w:t xml:space="preserve">інансування наведені в додатку, що додається до Програми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16"/>
        <w:ind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В.о.начальника відділу земельних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6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відносин, АПК, екології</w:t>
        <w:tab/>
        <w:tab/>
        <w:tab/>
        <w:tab/>
        <w:tab/>
        <w:tab/>
        <w:t xml:space="preserve">Оксана СКИРТА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9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67406802"/>
      <w:docPartObj>
        <w:docPartGallery w:val="Page Numbers (Top of Page)"/>
        <w:docPartUnique w:val="true"/>
      </w:docPartObj>
      <w:rPr/>
    </w:sdtPr>
    <w:sdtContent>
      <w:p>
        <w:pPr>
          <w:pStyle w:val="918"/>
          <w:jc w:val="center"/>
        </w:pPr>
        <w:r>
          <w:t xml:space="preserve">                                                                                        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5</w:t>
        </w:r>
        <w:r>
          <w:fldChar w:fldCharType="end"/>
        </w:r>
        <w:r>
          <w:tab/>
          <w:t xml:space="preserve">                                                    </w:t>
        </w:r>
        <w:r>
          <w:rPr>
            <w:i/>
          </w:rPr>
          <w:t xml:space="preserve">продовження додатка</w:t>
        </w:r>
        <w:r/>
      </w:p>
    </w:sdtContent>
  </w:sdt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ind w:left="5387"/>
      <w:jc w:val="both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  <w:t xml:space="preserve">Додаток </w:t>
    </w:r>
    <w:r>
      <w:rPr>
        <w:rFonts w:ascii="Times New Roman" w:hAnsi="Times New Roman" w:cs="Times New Roman" w:eastAsia="Times New Roman"/>
        <w:sz w:val="20"/>
      </w:rPr>
    </w:r>
    <w:r/>
  </w:p>
  <w:p>
    <w:pPr>
      <w:pStyle w:val="918"/>
      <w:ind w:left="5387"/>
      <w:jc w:val="both"/>
      <w:rPr>
        <w:rFonts w:ascii="Times New Roman" w:hAnsi="Times New Roman" w:cs="Times New Roman" w:eastAsia="Times New Roman"/>
        <w:sz w:val="24"/>
      </w:rPr>
    </w:pPr>
    <w:r>
      <w:rPr>
        <w:rFonts w:ascii="Times New Roman" w:hAnsi="Times New Roman" w:cs="Times New Roman" w:eastAsia="Times New Roman"/>
        <w:sz w:val="24"/>
      </w:rPr>
      <w:t xml:space="preserve">до </w:t>
    </w:r>
    <w:r>
      <w:rPr>
        <w:rFonts w:ascii="Times New Roman" w:hAnsi="Times New Roman" w:cs="Times New Roman" w:eastAsia="Times New Roman"/>
        <w:sz w:val="24"/>
      </w:rPr>
      <w:t xml:space="preserve">рішення </w:t>
    </w:r>
    <w:r>
      <w:rPr>
        <w:rFonts w:ascii="Times New Roman" w:hAnsi="Times New Roman" w:cs="Times New Roman" w:eastAsia="Times New Roman"/>
        <w:sz w:val="24"/>
      </w:rPr>
      <w:t xml:space="preserve">27 сесії</w:t>
    </w:r>
    <w:r>
      <w:rPr>
        <w:rFonts w:ascii="Times New Roman" w:hAnsi="Times New Roman" w:cs="Times New Roman" w:eastAsia="Times New Roman"/>
        <w:sz w:val="24"/>
      </w:rPr>
      <w:t xml:space="preserve"> Менської міської ради </w:t>
    </w:r>
    <w:r>
      <w:rPr>
        <w:rFonts w:ascii="Times New Roman" w:hAnsi="Times New Roman" w:cs="Times New Roman" w:eastAsia="Times New Roman"/>
        <w:sz w:val="24"/>
      </w:rPr>
      <w:t xml:space="preserve">8 скликання </w:t>
    </w:r>
    <w:r>
      <w:rPr>
        <w:rFonts w:ascii="Times New Roman" w:hAnsi="Times New Roman" w:cs="Times New Roman" w:eastAsia="Times New Roman"/>
        <w:sz w:val="20"/>
      </w:rPr>
    </w:r>
    <w:r/>
  </w:p>
  <w:p>
    <w:pPr>
      <w:pStyle w:val="918"/>
      <w:ind w:left="5387"/>
      <w:jc w:val="both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 w:eastAsia="Times New Roman"/>
        <w:sz w:val="24"/>
      </w:rPr>
      <w:t xml:space="preserve">21</w:t>
    </w:r>
    <w:bookmarkStart w:id="0" w:name="_GoBack"/>
    <w:r>
      <w:rPr>
        <w:rFonts w:ascii="Times New Roman" w:hAnsi="Times New Roman" w:cs="Times New Roman" w:eastAsia="Times New Roman"/>
        <w:sz w:val="24"/>
      </w:rPr>
    </w:r>
    <w:bookmarkEnd w:id="0"/>
    <w:r>
      <w:rPr>
        <w:rFonts w:ascii="Times New Roman" w:hAnsi="Times New Roman" w:cs="Times New Roman" w:eastAsia="Times New Roman"/>
        <w:sz w:val="24"/>
      </w:rPr>
      <w:t xml:space="preserve"> грудня 2022 року №</w:t>
    </w:r>
    <w:r>
      <w:rPr>
        <w:rFonts w:ascii="Times New Roman" w:hAnsi="Times New Roman" w:cs="Times New Roman" w:eastAsia="Times New Roman"/>
        <w:sz w:val="24"/>
      </w:rPr>
      <w:t xml:space="preserve"> 496</w: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12"/>
    <w:next w:val="912"/>
    <w:link w:val="73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9">
    <w:name w:val="Heading 1 Char"/>
    <w:basedOn w:val="913"/>
    <w:link w:val="738"/>
    <w:uiPriority w:val="9"/>
    <w:rPr>
      <w:rFonts w:ascii="Arial" w:hAnsi="Arial" w:cs="Arial" w:eastAsia="Arial"/>
      <w:sz w:val="40"/>
      <w:szCs w:val="40"/>
    </w:rPr>
  </w:style>
  <w:style w:type="paragraph" w:styleId="740">
    <w:name w:val="Heading 2"/>
    <w:basedOn w:val="912"/>
    <w:next w:val="912"/>
    <w:link w:val="74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1">
    <w:name w:val="Heading 2 Char"/>
    <w:basedOn w:val="913"/>
    <w:link w:val="740"/>
    <w:uiPriority w:val="9"/>
    <w:rPr>
      <w:rFonts w:ascii="Arial" w:hAnsi="Arial" w:cs="Arial" w:eastAsia="Arial"/>
      <w:sz w:val="34"/>
    </w:rPr>
  </w:style>
  <w:style w:type="paragraph" w:styleId="742">
    <w:name w:val="Heading 3"/>
    <w:basedOn w:val="912"/>
    <w:next w:val="912"/>
    <w:link w:val="74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3">
    <w:name w:val="Heading 3 Char"/>
    <w:basedOn w:val="913"/>
    <w:link w:val="742"/>
    <w:uiPriority w:val="9"/>
    <w:rPr>
      <w:rFonts w:ascii="Arial" w:hAnsi="Arial" w:cs="Arial" w:eastAsia="Arial"/>
      <w:sz w:val="30"/>
      <w:szCs w:val="30"/>
    </w:rPr>
  </w:style>
  <w:style w:type="paragraph" w:styleId="744">
    <w:name w:val="Heading 4"/>
    <w:basedOn w:val="912"/>
    <w:next w:val="912"/>
    <w:link w:val="7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5">
    <w:name w:val="Heading 4 Char"/>
    <w:basedOn w:val="913"/>
    <w:link w:val="744"/>
    <w:uiPriority w:val="9"/>
    <w:rPr>
      <w:rFonts w:ascii="Arial" w:hAnsi="Arial" w:cs="Arial" w:eastAsia="Arial"/>
      <w:b/>
      <w:bCs/>
      <w:sz w:val="26"/>
      <w:szCs w:val="26"/>
    </w:rPr>
  </w:style>
  <w:style w:type="paragraph" w:styleId="746">
    <w:name w:val="Heading 5"/>
    <w:basedOn w:val="912"/>
    <w:next w:val="912"/>
    <w:link w:val="74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7">
    <w:name w:val="Heading 5 Char"/>
    <w:basedOn w:val="913"/>
    <w:link w:val="746"/>
    <w:uiPriority w:val="9"/>
    <w:rPr>
      <w:rFonts w:ascii="Arial" w:hAnsi="Arial" w:cs="Arial" w:eastAsia="Arial"/>
      <w:b/>
      <w:bCs/>
      <w:sz w:val="24"/>
      <w:szCs w:val="24"/>
    </w:rPr>
  </w:style>
  <w:style w:type="paragraph" w:styleId="748">
    <w:name w:val="Heading 6"/>
    <w:basedOn w:val="912"/>
    <w:next w:val="912"/>
    <w:link w:val="74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9">
    <w:name w:val="Heading 6 Char"/>
    <w:basedOn w:val="913"/>
    <w:link w:val="748"/>
    <w:uiPriority w:val="9"/>
    <w:rPr>
      <w:rFonts w:ascii="Arial" w:hAnsi="Arial" w:cs="Arial" w:eastAsia="Arial"/>
      <w:b/>
      <w:bCs/>
      <w:sz w:val="22"/>
      <w:szCs w:val="22"/>
    </w:rPr>
  </w:style>
  <w:style w:type="paragraph" w:styleId="750">
    <w:name w:val="Heading 7"/>
    <w:basedOn w:val="912"/>
    <w:next w:val="912"/>
    <w:link w:val="75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1">
    <w:name w:val="Heading 7 Char"/>
    <w:basedOn w:val="913"/>
    <w:link w:val="7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2">
    <w:name w:val="Heading 8"/>
    <w:basedOn w:val="912"/>
    <w:next w:val="912"/>
    <w:link w:val="75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3">
    <w:name w:val="Heading 8 Char"/>
    <w:basedOn w:val="913"/>
    <w:link w:val="752"/>
    <w:uiPriority w:val="9"/>
    <w:rPr>
      <w:rFonts w:ascii="Arial" w:hAnsi="Arial" w:cs="Arial" w:eastAsia="Arial"/>
      <w:i/>
      <w:iCs/>
      <w:sz w:val="22"/>
      <w:szCs w:val="22"/>
    </w:rPr>
  </w:style>
  <w:style w:type="paragraph" w:styleId="754">
    <w:name w:val="Heading 9"/>
    <w:basedOn w:val="912"/>
    <w:next w:val="912"/>
    <w:link w:val="75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5">
    <w:name w:val="Heading 9 Char"/>
    <w:basedOn w:val="913"/>
    <w:link w:val="754"/>
    <w:uiPriority w:val="9"/>
    <w:rPr>
      <w:rFonts w:ascii="Arial" w:hAnsi="Arial" w:cs="Arial" w:eastAsia="Arial"/>
      <w:i/>
      <w:iCs/>
      <w:sz w:val="21"/>
      <w:szCs w:val="21"/>
    </w:rPr>
  </w:style>
  <w:style w:type="paragraph" w:styleId="756">
    <w:name w:val="List Paragraph"/>
    <w:basedOn w:val="912"/>
    <w:qFormat/>
    <w:uiPriority w:val="34"/>
    <w:pPr>
      <w:contextualSpacing w:val="true"/>
      <w:ind w:left="720"/>
    </w:pPr>
  </w:style>
  <w:style w:type="paragraph" w:styleId="757">
    <w:name w:val="Title"/>
    <w:basedOn w:val="912"/>
    <w:next w:val="912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>
    <w:name w:val="Title Char"/>
    <w:basedOn w:val="913"/>
    <w:link w:val="757"/>
    <w:uiPriority w:val="10"/>
    <w:rPr>
      <w:sz w:val="48"/>
      <w:szCs w:val="48"/>
    </w:rPr>
  </w:style>
  <w:style w:type="paragraph" w:styleId="759">
    <w:name w:val="Subtitle"/>
    <w:basedOn w:val="912"/>
    <w:next w:val="912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>
    <w:name w:val="Subtitle Char"/>
    <w:basedOn w:val="913"/>
    <w:link w:val="759"/>
    <w:uiPriority w:val="11"/>
    <w:rPr>
      <w:sz w:val="24"/>
      <w:szCs w:val="24"/>
    </w:rPr>
  </w:style>
  <w:style w:type="paragraph" w:styleId="761">
    <w:name w:val="Quote"/>
    <w:basedOn w:val="912"/>
    <w:next w:val="912"/>
    <w:link w:val="762"/>
    <w:qFormat/>
    <w:uiPriority w:val="29"/>
    <w:rPr>
      <w:i/>
    </w:rPr>
    <w:pPr>
      <w:ind w:left="720" w:right="720"/>
    </w:pPr>
  </w:style>
  <w:style w:type="character" w:styleId="762">
    <w:name w:val="Quote Char"/>
    <w:link w:val="761"/>
    <w:uiPriority w:val="29"/>
    <w:rPr>
      <w:i/>
    </w:rPr>
  </w:style>
  <w:style w:type="paragraph" w:styleId="763">
    <w:name w:val="Intense Quote"/>
    <w:basedOn w:val="912"/>
    <w:next w:val="912"/>
    <w:link w:val="76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>
    <w:name w:val="Intense Quote Char"/>
    <w:link w:val="763"/>
    <w:uiPriority w:val="30"/>
    <w:rPr>
      <w:i/>
    </w:rPr>
  </w:style>
  <w:style w:type="character" w:styleId="765">
    <w:name w:val="Header Char"/>
    <w:basedOn w:val="913"/>
    <w:link w:val="918"/>
    <w:uiPriority w:val="99"/>
  </w:style>
  <w:style w:type="character" w:styleId="766">
    <w:name w:val="Footer Char"/>
    <w:basedOn w:val="913"/>
    <w:link w:val="920"/>
    <w:uiPriority w:val="99"/>
  </w:style>
  <w:style w:type="paragraph" w:styleId="767">
    <w:name w:val="Caption"/>
    <w:basedOn w:val="912"/>
    <w:next w:val="9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8">
    <w:name w:val="Caption Char"/>
    <w:basedOn w:val="767"/>
    <w:link w:val="920"/>
    <w:uiPriority w:val="99"/>
  </w:style>
  <w:style w:type="table" w:styleId="769">
    <w:name w:val="Table Grid Light"/>
    <w:basedOn w:val="9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basedOn w:val="9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basedOn w:val="9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>
    <w:name w:val="Grid Table 1 Light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2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2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2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2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Grid Table 2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Grid Table 2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Grid Table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Grid Table 3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Grid Table 3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Grid Table 3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Grid Table 3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Grid Table 3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4"/>
    <w:basedOn w:val="9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>
    <w:name w:val="Grid Table 4 - Accent 1"/>
    <w:basedOn w:val="9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98">
    <w:name w:val="Grid Table 4 - Accent 2"/>
    <w:basedOn w:val="9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99">
    <w:name w:val="Grid Table 4 - Accent 3"/>
    <w:basedOn w:val="9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00">
    <w:name w:val="Grid Table 4 - Accent 4"/>
    <w:basedOn w:val="9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01">
    <w:name w:val="Grid Table 4 - Accent 5"/>
    <w:basedOn w:val="9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2">
    <w:name w:val="Grid Table 4 - Accent 6"/>
    <w:basedOn w:val="9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03">
    <w:name w:val="Grid Table 5 Dark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04">
    <w:name w:val="Grid Table 5 Dark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05">
    <w:name w:val="Grid Table 5 Dark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06">
    <w:name w:val="Grid Table 5 Dark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07">
    <w:name w:val="Grid Table 5 Dark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08">
    <w:name w:val="Grid Table 5 Dark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09">
    <w:name w:val="Grid Table 5 Dark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10">
    <w:name w:val="Grid Table 6 Colorful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>
    <w:name w:val="Grid Table 7 Colorful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9">
    <w:name w:val="Grid Table 7 Colorful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>
    <w:name w:val="Grid Table 7 Colorful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>
    <w:name w:val="Grid Table 7 Colorful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>
    <w:name w:val="Grid Table 7 Colorful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3">
    <w:name w:val="Grid Table 7 Colorful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4">
    <w:name w:val="List Table 1 Light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>
    <w:name w:val="List Table 1 Light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>
    <w:name w:val="List Table 1 Light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>
    <w:name w:val="List Table 1 Light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>
    <w:name w:val="List Table 1 Light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>
    <w:name w:val="List Table 1 Light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>
    <w:name w:val="List Table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32">
    <w:name w:val="List Table 2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33">
    <w:name w:val="List Table 2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34">
    <w:name w:val="List Table 2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35">
    <w:name w:val="List Table 2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36">
    <w:name w:val="List Table 2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37">
    <w:name w:val="List Table 2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38">
    <w:name w:val="List Table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60">
    <w:name w:val="List Table 6 Colorful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61">
    <w:name w:val="List Table 6 Colorful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62">
    <w:name w:val="List Table 6 Colorful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63">
    <w:name w:val="List Table 6 Colorful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64">
    <w:name w:val="List Table 6 Colorful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65">
    <w:name w:val="List Table 6 Colorful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66">
    <w:name w:val="List Table 7 Colorful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68">
    <w:name w:val="List Table 7 Colorful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69">
    <w:name w:val="List Table 7 Colorful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70">
    <w:name w:val="List Table 7 Colorful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71">
    <w:name w:val="List Table 7 Colorful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72">
    <w:name w:val="List Table 7 Colorful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73">
    <w:name w:val="Lined - Accent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74">
    <w:name w:val="Lined - Accent 1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75">
    <w:name w:val="Lined - Accent 2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76">
    <w:name w:val="Lined - Accent 3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77">
    <w:name w:val="Lined - Accent 4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8">
    <w:name w:val="Lined - Accent 5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9">
    <w:name w:val="Lined - Accent 6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0">
    <w:name w:val="Bordered &amp; Lined - Accent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81">
    <w:name w:val="Bordered &amp; Lined - Accent 1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82">
    <w:name w:val="Bordered &amp; Lined - Accent 2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83">
    <w:name w:val="Bordered &amp; Lined - Accent 3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84">
    <w:name w:val="Bordered &amp; Lined - Accent 4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85">
    <w:name w:val="Bordered &amp; Lined - Accent 5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86">
    <w:name w:val="Bordered &amp; Lined - Accent 6"/>
    <w:basedOn w:val="9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87">
    <w:name w:val="Bordered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88">
    <w:name w:val="Bordered - Accent 1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89">
    <w:name w:val="Bordered - Accent 2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90">
    <w:name w:val="Bordered - Accent 3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91">
    <w:name w:val="Bordered - Accent 4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92">
    <w:name w:val="Bordered - Accent 5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93">
    <w:name w:val="Bordered - Accent 6"/>
    <w:basedOn w:val="9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basedOn w:val="913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rPr>
      <w:sz w:val="20"/>
    </w:rPr>
    <w:pPr>
      <w:spacing w:lineRule="auto" w:line="240" w:after="0"/>
    </w:p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basedOn w:val="913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ind w:left="0" w:right="0" w:firstLine="0"/>
      <w:spacing w:after="57"/>
    </w:pPr>
  </w:style>
  <w:style w:type="paragraph" w:styleId="902">
    <w:name w:val="toc 2"/>
    <w:basedOn w:val="912"/>
    <w:next w:val="912"/>
    <w:uiPriority w:val="39"/>
    <w:unhideWhenUsed/>
    <w:pPr>
      <w:ind w:left="283" w:right="0" w:firstLine="0"/>
      <w:spacing w:after="57"/>
    </w:pPr>
  </w:style>
  <w:style w:type="paragraph" w:styleId="903">
    <w:name w:val="toc 3"/>
    <w:basedOn w:val="912"/>
    <w:next w:val="912"/>
    <w:uiPriority w:val="39"/>
    <w:unhideWhenUsed/>
    <w:pPr>
      <w:ind w:left="567" w:right="0" w:firstLine="0"/>
      <w:spacing w:after="57"/>
    </w:pPr>
  </w:style>
  <w:style w:type="paragraph" w:styleId="904">
    <w:name w:val="toc 4"/>
    <w:basedOn w:val="912"/>
    <w:next w:val="912"/>
    <w:uiPriority w:val="39"/>
    <w:unhideWhenUsed/>
    <w:pPr>
      <w:ind w:left="850" w:right="0" w:firstLine="0"/>
      <w:spacing w:after="57"/>
    </w:pPr>
  </w:style>
  <w:style w:type="paragraph" w:styleId="905">
    <w:name w:val="toc 5"/>
    <w:basedOn w:val="912"/>
    <w:next w:val="912"/>
    <w:uiPriority w:val="39"/>
    <w:unhideWhenUsed/>
    <w:pPr>
      <w:ind w:left="1134" w:right="0" w:firstLine="0"/>
      <w:spacing w:after="57"/>
    </w:pPr>
  </w:style>
  <w:style w:type="paragraph" w:styleId="906">
    <w:name w:val="toc 6"/>
    <w:basedOn w:val="912"/>
    <w:next w:val="912"/>
    <w:uiPriority w:val="39"/>
    <w:unhideWhenUsed/>
    <w:pPr>
      <w:ind w:left="1417" w:right="0" w:firstLine="0"/>
      <w:spacing w:after="57"/>
    </w:pPr>
  </w:style>
  <w:style w:type="paragraph" w:styleId="907">
    <w:name w:val="toc 7"/>
    <w:basedOn w:val="912"/>
    <w:next w:val="912"/>
    <w:uiPriority w:val="39"/>
    <w:unhideWhenUsed/>
    <w:pPr>
      <w:ind w:left="1701" w:right="0" w:firstLine="0"/>
      <w:spacing w:after="57"/>
    </w:pPr>
  </w:style>
  <w:style w:type="paragraph" w:styleId="908">
    <w:name w:val="toc 8"/>
    <w:basedOn w:val="912"/>
    <w:next w:val="912"/>
    <w:uiPriority w:val="39"/>
    <w:unhideWhenUsed/>
    <w:pPr>
      <w:ind w:left="1984" w:right="0" w:firstLine="0"/>
      <w:spacing w:after="57"/>
    </w:pPr>
  </w:style>
  <w:style w:type="paragraph" w:styleId="909">
    <w:name w:val="toc 9"/>
    <w:basedOn w:val="912"/>
    <w:next w:val="912"/>
    <w:uiPriority w:val="39"/>
    <w:unhideWhenUsed/>
    <w:pPr>
      <w:ind w:left="2268" w:right="0" w:firstLine="0"/>
      <w:spacing w:after="57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qFormat/>
  </w:style>
  <w:style w:type="character" w:styleId="913" w:default="1">
    <w:name w:val="Default Paragraph Font"/>
    <w:uiPriority w:val="1"/>
    <w:semiHidden/>
    <w:unhideWhenUsed/>
  </w:style>
  <w:style w:type="table" w:styleId="9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5" w:default="1">
    <w:name w:val="No List"/>
    <w:uiPriority w:val="99"/>
    <w:semiHidden/>
    <w:unhideWhenUsed/>
  </w:style>
  <w:style w:type="paragraph" w:styleId="916">
    <w:name w:val="No Spacing"/>
    <w:qFormat/>
    <w:uiPriority w:val="1"/>
    <w:pPr>
      <w:spacing w:lineRule="auto" w:line="240" w:after="0"/>
    </w:pPr>
  </w:style>
  <w:style w:type="table" w:styleId="917">
    <w:name w:val="Table Grid"/>
    <w:basedOn w:val="91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18">
    <w:name w:val="Header"/>
    <w:basedOn w:val="912"/>
    <w:link w:val="91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9" w:customStyle="1">
    <w:name w:val="Верхний колонтитул Знак"/>
    <w:basedOn w:val="913"/>
    <w:link w:val="918"/>
    <w:uiPriority w:val="99"/>
  </w:style>
  <w:style w:type="paragraph" w:styleId="920">
    <w:name w:val="Footer"/>
    <w:basedOn w:val="912"/>
    <w:link w:val="92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21" w:customStyle="1">
    <w:name w:val="Нижний колонтитул Знак"/>
    <w:basedOn w:val="913"/>
    <w:link w:val="92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9</cp:revision>
  <dcterms:created xsi:type="dcterms:W3CDTF">2022-12-12T09:26:00Z</dcterms:created>
  <dcterms:modified xsi:type="dcterms:W3CDTF">2022-12-22T18:37:08Z</dcterms:modified>
</cp:coreProperties>
</file>