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4"/>
      </w:pPr>
      <w:r/>
      <w:r/>
    </w:p>
    <w:p>
      <w:pPr>
        <w:pStyle w:val="60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6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двадцять </w:t>
      </w:r>
      <w:r>
        <w:rPr>
          <w:b/>
          <w:bCs/>
          <w:sz w:val="28"/>
          <w:szCs w:val="28"/>
        </w:rPr>
        <w:t xml:space="preserve">сьомої</w:t>
      </w:r>
      <w:r>
        <w:rPr>
          <w:b/>
          <w:bCs/>
          <w:sz w:val="28"/>
          <w:szCs w:val="28"/>
        </w:rPr>
        <w:t xml:space="preserve"> сесії Менської міської ради восьмого скликання № 4</w:t>
      </w:r>
      <w:r>
        <w:rPr>
          <w:b/>
          <w:bCs/>
          <w:sz w:val="28"/>
          <w:szCs w:val="28"/>
        </w:rPr>
        <w:t xml:space="preserve">66</w:t>
      </w:r>
      <w:r>
        <w:rPr>
          <w:b/>
          <w:bCs/>
          <w:sz w:val="28"/>
          <w:szCs w:val="28"/>
        </w:rPr>
        <w:t xml:space="preserve"> від </w:t>
      </w:r>
      <w:r>
        <w:rPr>
          <w:b/>
          <w:bCs/>
          <w:sz w:val="28"/>
          <w:szCs w:val="28"/>
        </w:rPr>
        <w:t xml:space="preserve">07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грудня</w:t>
      </w:r>
      <w:r>
        <w:rPr>
          <w:b/>
          <w:bCs/>
          <w:sz w:val="28"/>
          <w:szCs w:val="28"/>
        </w:rPr>
        <w:t xml:space="preserve"> 2022 року «Про внесення змін до рішення 15 сесії Менської міської ради 8 скликання від 22 грудня 2021 року № 899 «Про бюджет Менської міської територіальної громади на 2022 рік»»</w:t>
      </w:r>
      <w:r/>
    </w:p>
    <w:p>
      <w:pPr>
        <w:pStyle w:val="60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899 «Про бюджет 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територіальної громади на 2022 рік» від 22.12.2021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60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та спеціального фондів Менської міської ради в</w:t>
      </w:r>
      <w:r>
        <w:rPr>
          <w:rFonts w:ascii="Times New Roman" w:hAnsi="Times New Roman" w:cs="Times New Roman"/>
          <w:sz w:val="28"/>
          <w:szCs w:val="28"/>
        </w:rPr>
        <w:t xml:space="preserve"> частині фінансування програми «Розвитку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роки», а саме: збільшити кошторисні призначення спеціального фонду по </w:t>
      </w:r>
      <w:r>
        <w:rPr>
          <w:rFonts w:ascii="Times New Roman" w:hAnsi="Times New Roman" w:cs="Times New Roman"/>
          <w:sz w:val="28"/>
          <w:szCs w:val="28"/>
        </w:rPr>
        <w:t xml:space="preserve">КНП «Ц</w:t>
      </w:r>
      <w:r>
        <w:rPr>
          <w:rFonts w:ascii="Times New Roman" w:hAnsi="Times New Roman" w:cs="Times New Roman"/>
          <w:sz w:val="28"/>
          <w:szCs w:val="28"/>
        </w:rPr>
        <w:t xml:space="preserve">ентр первинної медико-санітарної допомоги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для придбання обладнання і предметів довгострокового користування (твердопаливного котла </w:t>
      </w:r>
      <w:r>
        <w:rPr>
          <w:rFonts w:ascii="Times New Roman" w:hAnsi="Times New Roman" w:cs="Times New Roman"/>
          <w:sz w:val="28"/>
          <w:szCs w:val="28"/>
        </w:rPr>
        <w:t xml:space="preserve">Киселівської</w:t>
      </w:r>
      <w:r>
        <w:rPr>
          <w:rFonts w:ascii="Times New Roman" w:hAnsi="Times New Roman" w:cs="Times New Roman"/>
          <w:sz w:val="28"/>
          <w:szCs w:val="28"/>
        </w:rPr>
        <w:t xml:space="preserve"> амбулаторії) на суму 43000,00 грн. за рахунок зменшення річної суми 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загального фонду на таку ж суму</w:t>
      </w:r>
      <w:r/>
    </w:p>
    <w:p>
      <w:pPr>
        <w:pStyle w:val="60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МБ 0112111 КЕКВ 3210 +43000,00 грн., КЕКВ 2610 -43000,00 грн.).</w:t>
      </w:r>
      <w:r/>
    </w:p>
    <w:p>
      <w:pPr>
        <w:pStyle w:val="60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в частині фінансування програми «Розвитку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роки» по  КНП </w:t>
      </w:r>
      <w:r>
        <w:rPr>
          <w:rFonts w:ascii="Times New Roman" w:hAnsi="Times New Roman" w:cs="Times New Roman"/>
          <w:sz w:val="28"/>
          <w:szCs w:val="28"/>
        </w:rPr>
        <w:t xml:space="preserve">«Менська міська лікарня» на суму 500000,00 грн. (з метою оплати комунальних послуг) за рахунок зменшення кошторисних призначень по апарату управління Менської міської ради для оплати заробітної плати на таку ж суму </w:t>
      </w:r>
      <w:r/>
    </w:p>
    <w:p>
      <w:pPr>
        <w:pStyle w:val="60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МБ 0112010 КЕКВ 2610 +500000,00 грн., КПКВК МБ 0110150 КЕКВ 2111 -500000,00 грн.).</w:t>
      </w:r>
      <w:r/>
    </w:p>
    <w:p>
      <w:pPr>
        <w:pStyle w:val="60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загального фонду Менської міської ради по інших заходах громадського порядку та безпеки в частині фінансування програми «Підв</w:t>
      </w:r>
      <w:r>
        <w:rPr>
          <w:rFonts w:ascii="Times New Roman" w:hAnsi="Times New Roman" w:cs="Times New Roman"/>
          <w:sz w:val="28"/>
          <w:szCs w:val="28"/>
        </w:rPr>
        <w:t xml:space="preserve">ищення обороноздатності та безпеки населених пунктів Менської міської територіальної громади в умовах воєнного стану на 2022 рік», а саме: для придбання предметів, матеріалів, обладнання та інвентарю на суму 150000,00 грн., для оплати за водопостачання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на суму 1600,00 грн</w:t>
      </w:r>
      <w:r>
        <w:rPr>
          <w:rFonts w:ascii="Times New Roman" w:hAnsi="Times New Roman" w:cs="Times New Roman"/>
          <w:sz w:val="28"/>
          <w:szCs w:val="28"/>
        </w:rPr>
        <w:t xml:space="preserve">. за рахунок зменшення кошторисних призначень загального фонду по організації благоустрою населених пунктів для оплати за спожиту електроенергію на сум</w:t>
      </w:r>
      <w:r>
        <w:rPr>
          <w:rFonts w:ascii="Times New Roman" w:hAnsi="Times New Roman" w:cs="Times New Roman"/>
          <w:sz w:val="28"/>
          <w:szCs w:val="28"/>
        </w:rPr>
        <w:t xml:space="preserve">у 150000,00 грн. та зменшення кошторисних призначень в частині фінансування програми «Територіальної оборони на території населених пунктів Менської міської територіальної громади на 2022-2024 року» для оплати послуг, крім комунальний, на суму 1600,00 грн.</w:t>
      </w:r>
      <w:r/>
    </w:p>
    <w:p>
      <w:pPr>
        <w:pStyle w:val="60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МБ 0118230 КЕКВ 2210 +150000,00 грн., КЕКВ 2272 +1600,00 грн., КЕКВ 2240 -1600,00 грн., КПКВК МБ 0116030 КЕКВ 2273 -150000,00 грн.).</w:t>
      </w:r>
      <w:r/>
    </w:p>
    <w:p>
      <w:pPr>
        <w:pStyle w:val="605"/>
        <w:numPr>
          <w:ilvl w:val="0"/>
          <w:numId w:val="1"/>
        </w:numPr>
        <w:ind w:left="0" w:firstLine="56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рахунок уточнення вільного</w:t>
      </w:r>
      <w:r>
        <w:rPr>
          <w:rFonts w:ascii="Times New Roman" w:hAnsi="Times New Roman" w:cs="Times New Roman"/>
          <w:sz w:val="28"/>
          <w:szCs w:val="28"/>
        </w:rPr>
        <w:t xml:space="preserve"> залишку, що склався на рахунку загального фонду станом на 01.01.2022 року збільшити кошторисні призначення спеціального фонду Менської міської ради з розвитку мережі центрів надання адміністративних послуг для капітального ремонту на суму 650000,00 грн. (</w:t>
      </w:r>
      <w:r>
        <w:rPr>
          <w:rFonts w:ascii="Times New Roman" w:hAnsi="Times New Roman" w:cs="Times New Roman"/>
          <w:sz w:val="28"/>
          <w:szCs w:val="28"/>
        </w:rPr>
        <w:t xml:space="preserve">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системи опалення приміщення по вул.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Героїв АТО, 9</w:t>
      </w:r>
      <w:r>
        <w:rPr>
          <w:rFonts w:ascii="Times New Roman" w:hAnsi="Times New Roman" w:cs="Times New Roman"/>
          <w:sz w:val="28"/>
          <w:szCs w:val="28"/>
        </w:rPr>
        <w:t xml:space="preserve"> та виготовлення проектно-кошторисної документації</w:t>
      </w:r>
      <w:r>
        <w:rPr>
          <w:rFonts w:ascii="Times New Roman" w:hAnsi="Times New Roman" w:cs="Times New Roman"/>
          <w:sz w:val="28"/>
          <w:szCs w:val="28"/>
        </w:rPr>
        <w:t xml:space="preserve">, технічний нагляд)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МБ 0117390 КЕКВ 3132 +650000,00 грн.).</w:t>
      </w:r>
      <w:r/>
    </w:p>
    <w:p>
      <w:pPr>
        <w:pStyle w:val="605"/>
        <w:numPr>
          <w:ilvl w:val="0"/>
          <w:numId w:val="1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бюджету в частині надходження іншої субвенції з обласного бюджету на суму 95000,00 грн. (виконання повноважень депутатами обласної ради). Відповідно збільшити кошторисні призначення для:  </w:t>
      </w:r>
      <w:r/>
    </w:p>
    <w:p>
      <w:pPr>
        <w:pStyle w:val="60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придбання спортивного інвентарю по Менському ОЗЗСУ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ім.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Т.Г.Шевченка на суму 20000,00 грн. (КПКВК МБ 0611021 КЕКВ 2210 +20000,00 грн.);</w:t>
      </w:r>
      <w:r/>
    </w:p>
    <w:p>
      <w:pPr>
        <w:pStyle w:val="60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придбання медичного обладнання в КНП «Менська міська лікарня» на суму 50000,00 грн. (КПКВК МБ 0112010 КЕКВ 2610 +50000,00 грн.);</w:t>
      </w:r>
      <w:r/>
    </w:p>
    <w:p>
      <w:pPr>
        <w:pStyle w:val="60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зміцнення матеріально-технічної бази комунального закладу позашкільної освіти «Менська станція юних техніків» на суму 25000,00 грн. (КПКВК МБ 0611070 КЕКВ 2210 +25000,00 грн.). Всі зазначені </w:t>
      </w:r>
      <w:r>
        <w:rPr>
          <w:rFonts w:ascii="Times New Roman" w:hAnsi="Times New Roman" w:cs="Times New Roman"/>
          <w:sz w:val="28"/>
          <w:szCs w:val="28"/>
        </w:rPr>
        <w:t xml:space="preserve">кошти виділені згідно розподілу депутата обласної ради Мисника Олександра Петровича та затверджені розпорядженням Чернігівської обласної військової адміністрації від 05.12.2022 року № 446.</w:t>
      </w:r>
      <w:r/>
    </w:p>
    <w:p>
      <w:pPr>
        <w:pStyle w:val="60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5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фінансового управління                                Алла НЕРОСЛИК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605">
    <w:name w:val="List Paragraph"/>
    <w:basedOn w:val="6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Нерослик Алла Петрівна</cp:lastModifiedBy>
  <cp:revision>7</cp:revision>
  <dcterms:created xsi:type="dcterms:W3CDTF">2022-12-09T07:34:00Z</dcterms:created>
  <dcterms:modified xsi:type="dcterms:W3CDTF">2022-12-14T10:58:32Z</dcterms:modified>
</cp:coreProperties>
</file>