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685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4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07 грудня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460 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4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Про внесення змін до Програми інформатизації Менської територіальної громади на 2022-2024 роки та затвердження її в новій редакції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t xml:space="preserve">Заслухавши інформацію </w:t>
      </w:r>
      <w:r>
        <w:t xml:space="preserve">про необхідність побудови сучасної локальної мережі, забезпечення телеко</w:t>
      </w:r>
      <w:r>
        <w:t xml:space="preserve">мунікаційним обладнанням та розгортання публічних точок доступу Інтернету, враховуючи рекомендації спільного засідання постійних депутатських комісій Менської міської ради від 07.12.2022, керуючись ст. 26 Закону України “Про місцеве самоврядування в Україн</w:t>
      </w:r>
      <w:r>
        <w:t xml:space="preserve">і”, Менська міська рада </w:t>
      </w:r>
      <w:r/>
    </w:p>
    <w:p>
      <w:pPr>
        <w:ind w:left="0" w:right="0"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ВИРІШИЛА: </w:t>
      </w:r>
      <w:r/>
    </w:p>
    <w:p>
      <w:pPr>
        <w:pStyle w:val="703"/>
        <w:numPr>
          <w:ilvl w:val="0"/>
          <w:numId w:val="2"/>
        </w:numPr>
        <w:ind w:left="0" w:right="0" w:firstLine="709"/>
        <w:spacing w:lineRule="auto" w:line="240" w:after="0" w:afterAutospacing="0" w:before="0" w:beforeAutospacing="0"/>
        <w:tabs>
          <w:tab w:val="clear" w:pos="709" w:leader="none"/>
          <w:tab w:val="left" w:pos="992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Внести наступні зміни до рішення 15 сесії Менської міської ради 8 скликання від 09 грудня 2021 року № 796 “Про затвердження Програми інформатизації Менської територіальної громади на 2022-2024 роки”:</w:t>
      </w:r>
      <w:r/>
    </w:p>
    <w:p>
      <w:pPr>
        <w:ind w:left="0" w:right="0" w:firstLine="567"/>
        <w:spacing w:lineRule="auto" w:line="240" w:after="0" w:afterAutospacing="0" w:before="0" w:beforeAutospacing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- пункт 1.1 основни</w:t>
      </w:r>
      <w:r>
        <w:t xml:space="preserve">х заходів розділу “1. Розвиток телекомунікаційної інфраструктури”, глави “IV. ЗАХОДИ ПРОГРАМИ” викласти в наступній редакції: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719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4415"/>
        <w:gridCol w:w="1492"/>
        <w:gridCol w:w="1397"/>
        <w:gridCol w:w="1667"/>
      </w:tblGrid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№ п.п.</w:t>
            </w:r>
            <w:r>
              <w:rPr>
                <w:highlight w:val="none"/>
              </w:rPr>
            </w:r>
            <w:r/>
          </w:p>
        </w:tc>
        <w:tc>
          <w:tcPr>
            <w:tcW w:w="4415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Назва заходу </w:t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W w:w="4556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Видатки по роках тис.грн.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81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4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2022 рік </w:t>
            </w:r>
            <w:r>
              <w:rPr>
                <w:highlight w:val="none"/>
              </w:rPr>
            </w:r>
            <w:r/>
          </w:p>
        </w:tc>
        <w:tc>
          <w:tcPr>
            <w:tcW w:w="139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2023 рік </w:t>
            </w:r>
            <w:r>
              <w:rPr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2024 рік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uppressLineNumbers w:val="0"/>
            </w:pPr>
            <w:r>
              <w:t xml:space="preserve">1.1.</w:t>
            </w:r>
            <w:r/>
          </w:p>
        </w:tc>
        <w:tc>
          <w:tcPr>
            <w:tcW w:w="4415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uppressLineNumbers w:val="0"/>
            </w:pPr>
            <w:r>
              <w:t xml:space="preserve">розвиток телекомунікаційних сервісів, забезпечення серверним та телекомунікаційним обладнанням;</w:t>
            </w:r>
            <w:r/>
          </w:p>
        </w:tc>
        <w:tc>
          <w:tcPr>
            <w:tcW w:w="1492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150</w:t>
            </w:r>
            <w:r>
              <w:rPr>
                <w:highlight w:val="none"/>
              </w:rPr>
            </w:r>
            <w:r/>
          </w:p>
        </w:tc>
        <w:tc>
          <w:tcPr>
            <w:tcW w:w="139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150</w:t>
            </w:r>
            <w:r>
              <w:rPr>
                <w:highlight w:val="none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200</w:t>
            </w:r>
            <w:r>
              <w:rPr>
                <w:highlight w:val="none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567"/>
        <w:spacing w:lineRule="auto" w:line="240" w:after="0" w:afterAutospacing="0" w:before="0" w:beforeAutospacing="0"/>
        <w:tabs>
          <w:tab w:val="clear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- пункт 1.2 основни</w:t>
      </w:r>
      <w:r>
        <w:t xml:space="preserve">х заходів розділу “1. Розвиток телекомунікаційної інфраструктури”</w:t>
      </w:r>
      <w:r>
        <w:t xml:space="preserve">, глави “IV. ЗАХОДИ ПРОГРАМИ” викласти в наступній редакції:</w:t>
      </w:r>
      <w:r>
        <w:rPr>
          <w:rFonts w:ascii="Times New Roman" w:hAnsi="Times New Roman" w:cs="Times New Roman" w:eastAsia="Times New Roman"/>
          <w:color w:val="000000"/>
        </w:rPr>
      </w:r>
      <w:r/>
    </w:p>
    <w:tbl>
      <w:tblPr>
        <w:tblStyle w:val="719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131"/>
        <w:gridCol w:w="1492"/>
        <w:gridCol w:w="1397"/>
        <w:gridCol w:w="1667"/>
      </w:tblGrid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№ п.п.</w:t>
            </w:r>
            <w:r>
              <w:rPr>
                <w:highlight w:val="none"/>
              </w:rPr>
            </w:r>
            <w:r/>
          </w:p>
        </w:tc>
        <w:tc>
          <w:tcPr>
            <w:tcW w:w="4131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Назва заходу</w:t>
            </w:r>
            <w:r>
              <w:rPr>
                <w:highlight w:val="none"/>
              </w:rPr>
            </w:r>
            <w:r/>
          </w:p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W w:w="4556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Видатки по роках тис.грн.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11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1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2022 рік </w:t>
            </w:r>
            <w:r>
              <w:rPr>
                <w:highlight w:val="none"/>
              </w:rPr>
            </w:r>
            <w:r/>
          </w:p>
        </w:tc>
        <w:tc>
          <w:tcPr>
            <w:tcW w:w="139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2023 рік </w:t>
            </w:r>
            <w:r>
              <w:rPr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2024 рік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1100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uppressLineNumbers w:val="0"/>
            </w:pPr>
            <w:r>
              <w:t xml:space="preserve">1.2.</w:t>
            </w:r>
            <w:r/>
          </w:p>
        </w:tc>
        <w:tc>
          <w:tcPr>
            <w:tcW w:w="4131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both"/>
              <w:suppressLineNumbers w:val="0"/>
            </w:pPr>
            <w:r>
              <w:t xml:space="preserve">забезпечення покриття фіксованим широкосмуговим доступом до мережі інтернет на основі сучасних телекомунікаційних технологій: оптоволоконні мережі, локальні мережі;</w:t>
            </w:r>
            <w:r/>
          </w:p>
        </w:tc>
        <w:tc>
          <w:tcPr>
            <w:tcW w:w="1492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100</w:t>
            </w:r>
            <w:r/>
          </w:p>
        </w:tc>
        <w:tc>
          <w:tcPr>
            <w:tcW w:w="139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100</w:t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100</w:t>
            </w:r>
            <w:r/>
          </w:p>
        </w:tc>
      </w:tr>
    </w:tbl>
    <w:p>
      <w:pPr>
        <w:ind w:left="0" w:right="0" w:firstLine="567"/>
        <w:spacing w:lineRule="auto" w:line="240" w:after="0" w:afterAutospacing="0" w:before="0" w:beforeAutospacing="0"/>
        <w:tabs>
          <w:tab w:val="clear" w:pos="709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- пункт 1.4 основни</w:t>
      </w:r>
      <w:r>
        <w:t xml:space="preserve">х заходів розділу “1. Розвиток телекомунікаційної </w:t>
      </w:r>
      <w:r>
        <w:t xml:space="preserve">інфраструктури</w:t>
      </w:r>
      <w:r>
        <w:t xml:space="preserve">”, глави “IV. ЗАХОДИ ПРОГРАМИ” викласти в наступній редакції:</w:t>
      </w:r>
      <w:r/>
    </w:p>
    <w:tbl>
      <w:tblPr>
        <w:tblStyle w:val="719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4131"/>
        <w:gridCol w:w="1492"/>
        <w:gridCol w:w="1397"/>
        <w:gridCol w:w="1667"/>
      </w:tblGrid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№ п.п.</w:t>
            </w:r>
            <w:r>
              <w:rPr>
                <w:highlight w:val="none"/>
              </w:rPr>
            </w:r>
            <w:r/>
          </w:p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131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Назва заходу</w:t>
            </w:r>
            <w:r>
              <w:rPr>
                <w:highlight w:val="none"/>
              </w:rPr>
            </w:r>
            <w:r/>
          </w:p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3"/>
            <w:tcW w:w="4556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Видатки по роках тис.грн.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11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1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92" w:type="dxa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2022 рік </w:t>
            </w:r>
            <w:r>
              <w:rPr>
                <w:highlight w:val="none"/>
              </w:rPr>
            </w:r>
            <w:r/>
          </w:p>
        </w:tc>
        <w:tc>
          <w:tcPr>
            <w:tcW w:w="139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2023 рік </w:t>
            </w:r>
            <w:r>
              <w:rPr>
                <w:highlight w:val="none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2024 рік</w:t>
            </w:r>
            <w:r>
              <w:rPr>
                <w:highlight w:val="none"/>
              </w:rPr>
            </w:r>
            <w:r/>
          </w:p>
        </w:tc>
      </w:tr>
      <w:tr>
        <w:trPr>
          <w:trHeight w:val="406"/>
        </w:trPr>
        <w:tc>
          <w:tcPr>
            <w:tcW w:w="1100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uppressLineNumbers w:val="0"/>
            </w:pPr>
            <w:r>
              <w:t xml:space="preserve">1.4.</w:t>
            </w:r>
            <w:r/>
          </w:p>
        </w:tc>
        <w:tc>
          <w:tcPr>
            <w:tcW w:w="4131" w:type="dxa"/>
            <w:vMerge w:val="restart"/>
            <w:textDirection w:val="lrTb"/>
            <w:noWrap w:val="false"/>
          </w:tcPr>
          <w:p>
            <w:pPr>
              <w:ind w:left="0" w:right="0" w:firstLine="0"/>
              <w:tabs>
                <w:tab w:val="clear" w:pos="709" w:leader="none"/>
              </w:tabs>
            </w:pPr>
            <w:r>
              <w:t xml:space="preserve">розгортання публічних WiFi-точок доступу до мережі інтернет</w:t>
            </w:r>
            <w:r/>
          </w:p>
        </w:tc>
        <w:tc>
          <w:tcPr>
            <w:tcW w:w="1492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54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</w:r>
            <w:r>
              <w:t xml:space="preserve">85</w:t>
            </w:r>
            <w:r/>
          </w:p>
        </w:tc>
        <w:tc>
          <w:tcPr>
            <w:tcW w:w="139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73</w:t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</w:tabs>
              <w:rPr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highlight w:val="none"/>
              </w:rPr>
              <w:t xml:space="preserve">82</w:t>
            </w:r>
            <w:r/>
          </w:p>
        </w:tc>
      </w:tr>
    </w:tbl>
    <w:p>
      <w:pPr>
        <w:ind w:left="0" w:right="0" w:firstLine="567"/>
        <w:spacing w:lineRule="auto" w:line="240"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</w:rPr>
      </w:r>
      <w:r/>
    </w:p>
    <w:p>
      <w:pPr>
        <w:pStyle w:val="703"/>
        <w:numPr>
          <w:ilvl w:val="0"/>
          <w:numId w:val="2"/>
        </w:numPr>
        <w:ind w:left="0" w:right="0" w:firstLine="709"/>
        <w:spacing w:lineRule="auto" w:line="240" w:after="0" w:afterAutospacing="0" w:before="0" w:beforeAutospacing="0"/>
        <w:tabs>
          <w:tab w:val="clear" w:pos="709" w:leader="none"/>
          <w:tab w:val="left" w:pos="99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t xml:space="preserve">Затвердити </w:t>
      </w:r>
      <w:r>
        <w:t xml:space="preserve">Програму інформатизації Менської територіальної громади на 2022-2024 роки в новій редакції відповідно до додатку до даного рішення (додається).</w:t>
      </w:r>
      <w:r/>
    </w:p>
    <w:p>
      <w:pPr>
        <w:pStyle w:val="703"/>
        <w:numPr>
          <w:ilvl w:val="0"/>
          <w:numId w:val="2"/>
        </w:numPr>
        <w:ind w:left="0" w:right="0" w:firstLine="709"/>
        <w:spacing w:lineRule="auto" w:line="240" w:after="0" w:afterAutospacing="0" w:before="0" w:beforeAutospacing="0"/>
        <w:tabs>
          <w:tab w:val="clear" w:pos="709" w:leader="none"/>
          <w:tab w:val="left" w:pos="992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highlight w:val="none"/>
        </w:rPr>
      </w:r>
      <w:r>
        <w:t xml:space="preserve">Контроль </w:t>
      </w:r>
      <w:r>
        <w:t xml:space="preserve">за виконанням рішення покласти на першого заступника міського голови О.Л. Неберу та секретаря ради Ю.В.Стальниченко.</w:t>
      </w:r>
      <w:r>
        <w:rPr>
          <w:highlight w:val="none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89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89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2022-12-09T17:20:47Z</dcterms:modified>
</cp:coreProperties>
</file>