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7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jc w:val="center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двадцять сьома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0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0"/>
          <w:szCs w:val="28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1" w:name="_GoBack"/>
      <w:r>
        <w:rPr>
          <w:rFonts w:ascii="Times New Roman" w:hAnsi="Times New Roman" w:cs="Times New Roman" w:eastAsia="Times New Roman"/>
          <w:sz w:val="28"/>
        </w:rPr>
      </w:r>
      <w:bookmarkEnd w:id="1"/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 w:eastAsia="Times New Roman"/>
          <w:b/>
          <w:color w:val="000000"/>
          <w:sz w:val="20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0"/>
          <w:szCs w:val="28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spacing w:lineRule="auto" w:line="240" w:after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07 грудня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 року</w:t>
        <w:tab/>
        <w:t xml:space="preserve">м.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bidi="hi-IN" w:eastAsia="hi-IN"/>
        </w:rPr>
        <w:t xml:space="preserve">№ 462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>
        <w:rPr>
          <w:rFonts w:ascii="Times New Roman" w:hAnsi="Times New Roman" w:cs="Times New Roman" w:eastAsia="Times New Roman"/>
          <w:sz w:val="20"/>
        </w:rPr>
      </w:r>
    </w:p>
    <w:p>
      <w:pPr>
        <w:pStyle w:val="812"/>
        <w:ind w:right="50"/>
        <w:tabs>
          <w:tab w:val="left" w:pos="3686" w:leader="none"/>
        </w:tabs>
        <w:rPr>
          <w:rFonts w:ascii="Times New Roman" w:hAnsi="Times New Roman" w:cs="Times New Roman" w:eastAsia="Times New Roman"/>
          <w:bCs/>
          <w:iCs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Про порядок </w:t>
      </w:r>
      <w:r>
        <w:rPr>
          <w:rFonts w:ascii="Times New Roman" w:hAnsi="Times New Roman" w:cs="Times New Roman" w:eastAsia="Times New Roman"/>
          <w:bCs/>
          <w:iCs/>
          <w:sz w:val="28"/>
          <w:lang w:eastAsia="uk-UA"/>
        </w:rPr>
        <w:t xml:space="preserve">організації харчування учнів у закладах загальної середньої освіти Менської міської ради на 202</w:t>
      </w:r>
      <w:r>
        <w:rPr>
          <w:rFonts w:ascii="Times New Roman" w:hAnsi="Times New Roman" w:cs="Times New Roman" w:eastAsia="Times New Roman"/>
          <w:bCs/>
          <w:iCs/>
          <w:sz w:val="28"/>
          <w:lang w:eastAsia="uk-UA"/>
        </w:rPr>
        <w:t xml:space="preserve">3</w:t>
      </w:r>
      <w:r>
        <w:rPr>
          <w:rFonts w:ascii="Times New Roman" w:hAnsi="Times New Roman" w:cs="Times New Roman" w:eastAsia="Times New Roman"/>
          <w:bCs/>
          <w:iCs/>
          <w:sz w:val="28"/>
          <w:lang w:eastAsia="uk-UA"/>
        </w:rPr>
        <w:t xml:space="preserve"> рік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bidi="en-US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14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Відповідно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вимог Законів України «Про освіту», «Про повну загальну середню освіту», «Про охорону дитинства»,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</w:rPr>
        <w:t xml:space="preserve">Про державну соціальну допомогу малозабезпеченим сім’ям</w:t>
      </w:r>
      <w:r>
        <w:rPr>
          <w:rFonts w:ascii="Times New Roman" w:hAnsi="Times New Roman" w:cs="Times New Roman" w:eastAsia="Times New Roman"/>
          <w:bCs/>
          <w:sz w:val="28"/>
          <w:szCs w:val="28"/>
          <w:shd w:val="clear" w:fill="FFFFFF" w:color="auto"/>
        </w:rPr>
        <w:t xml:space="preserve">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z w:val="28"/>
          <w:szCs w:val="28"/>
        </w:rPr>
        <w:t xml:space="preserve">“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 статус і соціальний захист громадян, які постраждали внаслідок Чорнобильської катастрофи”, “Про статус ветеранів війни, гарантії їх соціального захисту”,</w:t>
      </w:r>
      <w:r>
        <w:rPr>
          <w:rFonts w:ascii="Times New Roman" w:hAnsi="Times New Roman" w:cs="Times New Roman" w:eastAsia="Times New Roman"/>
          <w:color w:val="7B7B7B" w:themeColor="accent3" w:themeShade="BF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«Про внесення змін до деяких Законів України щодо забезпечення безкоштовним харчуванням дітей внутрішньо переміщених осіб» від 16.01.2020 №474-ІX,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 внесення змін до деяких законів України щодо забезпечення безкоштовним харчуванням дітей, один з батьків яких загинув (пропав безвісти), помер під час захисту незалежності та суверенітету України» від 05.11.2020 №978-ІX, постанов Кабінету Міністрів Укр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аїни від 02.02.2011 року №116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 18.01.2016 №16 «Про внесення змін до Порядку надання послуг з харчування дітей у дошкільних, учнів у загальноосвітніх та професійно-технічних закладах, операції з надання яких звільняються від обкладення податком на додану вартість», від 24.03.2021 №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305 «Про затвердження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Порядку організації харчування у закладах освіти та дитячих закладах оздоровлення та відпочинку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(зі змінами)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виконання рішення 15 сесії Менської міської ради 8 скликання від 09.12.2021 року № 819 «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Про затвердження Програми організації харчування учнів у закладах загальної середньої освіти Менської міської ради на 2022-2024 роки»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 (зі змінами)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рішення 26 сесії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8 скликання від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.202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року 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393 </w:t>
      </w:r>
      <w:bookmarkStart w:id="2" w:name="_Toc502337417"/>
      <w:r>
        <w:rPr>
          <w:rFonts w:ascii="Times New Roman" w:hAnsi="Times New Roman" w:cs="Times New Roman" w:eastAsia="Times New Roman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Про внесення змін до </w:t>
      </w:r>
      <w:bookmarkEnd w:id="2"/>
      <w:r>
        <w:rPr>
          <w:rFonts w:ascii="Times New Roman" w:hAnsi="Times New Roman" w:cs="Times New Roman" w:eastAsia="Times New Roman"/>
          <w:sz w:val="28"/>
          <w:szCs w:val="28"/>
        </w:rPr>
        <w:t xml:space="preserve">Програми  організації харчування дітей в закладах загальної середньої освіти Менської міської ради на 2022-2024 роки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ru-RU"/>
        </w:rPr>
        <w:t xml:space="preserve">з метою збереження здоров’я дітей </w:t>
      </w:r>
      <w:r>
        <w:rPr>
          <w:rFonts w:ascii="Times New Roman" w:hAnsi="Times New Roman" w:cs="Times New Roman" w:eastAsia="Times New Roman"/>
          <w:sz w:val="28"/>
          <w:szCs w:val="28"/>
          <w:shd w:val="clear" w:fill="FFFFFF" w:color="auto"/>
          <w:lang w:eastAsia="ru-RU"/>
        </w:rPr>
        <w:t xml:space="preserve">та забезпечення повноцінного і раціонального харчування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керуючись ст.26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-4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Cs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numPr>
          <w:ilvl w:val="0"/>
          <w:numId w:val="3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Встановити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01.01.2023 року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вартість харчування одного учня в день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закладах загальної середньої освіти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сумі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грн для учнів пільгових категорій 1- 11 класів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(за рахунок коштів місцевого бюджету)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numPr>
          <w:ilvl w:val="0"/>
          <w:numId w:val="3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Забезпечити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езоплатним гарячим харчуванням за ра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хунок коштів місцевого бюджету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  <w:lang w:val="uk-UA"/>
        </w:rPr>
        <w:t xml:space="preserve">учні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  <w:lang w:val="uk-UA"/>
        </w:rPr>
        <w:t xml:space="preserve">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  <w:lang w:val="uk-UA"/>
        </w:rPr>
        <w:t xml:space="preserve">закладу загальної середньої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fill="FFFFFF" w:color="auto"/>
          <w:lang w:val="uk-UA"/>
        </w:rPr>
        <w:t xml:space="preserve">освіти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uk-UA"/>
        </w:rPr>
        <w:t xml:space="preserve"> з чис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ла:</w:t>
      </w:r>
      <w:r>
        <w:rPr>
          <w:rFonts w:ascii="Times New Roman" w:hAnsi="Times New Roman" w:cs="Times New Roman" w:eastAsia="Times New Roman"/>
          <w:sz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numPr>
          <w:ilvl w:val="0"/>
          <w:numId w:val="2"/>
        </w:numPr>
        <w:ind w:left="0" w:right="0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дітей-сиріт;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numPr>
          <w:ilvl w:val="0"/>
          <w:numId w:val="2"/>
        </w:numPr>
        <w:ind w:left="0" w:right="0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дітей, позбавлених батьківського піклування;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numPr>
          <w:ilvl w:val="0"/>
          <w:numId w:val="2"/>
        </w:numPr>
        <w:ind w:left="0" w:right="0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дітей з особливими освітніми потребами, які навчаються у спеціальних та інклюзивних класах (групах);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numPr>
          <w:ilvl w:val="0"/>
          <w:numId w:val="2"/>
        </w:numPr>
        <w:ind w:left="0" w:right="0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дітей із сімей, які отримують допомогу відповідно до </w:t>
      </w:r>
      <w:hyperlink r:id="rId13" w:tooltip="https://zakon.rada.gov.ua/laws/show/1768-14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Закону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 «Про державну соціальну допомогу малозабезпеченим сім’ям»;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numPr>
          <w:ilvl w:val="0"/>
          <w:numId w:val="2"/>
        </w:numPr>
        <w:ind w:left="0" w:right="0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учнів закладів освіти, розташованих на територіях радіоактивного забруднення, 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також дітей, евакуйованих із зони відчуження, дітей, які є особами з інвалідністю внаслідок Чорнобильської катастрофи, і тих, що проживали у зоні безумовного (обов’язкового) відселення з моменту аварії до прийняття постанови про відселення, відповідно до </w:t>
      </w:r>
      <w:hyperlink r:id="rId14" w:tooltip="https://zakon.rada.gov.ua/laws/show/796-12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Закону України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 «Про статус і соціальний захист громадян, які постраждали внаслідок Чорнобильської катастрофи»;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numPr>
          <w:ilvl w:val="0"/>
          <w:numId w:val="2"/>
        </w:numPr>
        <w:ind w:left="0" w:right="0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дітей з числа внутрішньо переміщених осіб, діти, які мають статус дитини, яка постраждала внаслідок воєнних дій і збройних конфліктів;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numPr>
          <w:ilvl w:val="0"/>
          <w:numId w:val="2"/>
        </w:numPr>
        <w:ind w:left="0" w:right="0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дітей з числа осіб, визначених у</w:t>
      </w:r>
      <w:hyperlink r:id="rId15" w:tooltip="https://zakon.rada.gov.ua/laws/show/3551-12#n147" w:anchor="n147" w:history="1">
        <w:r>
          <w:rPr>
            <w:rFonts w:ascii="Times New Roman" w:hAnsi="Times New Roman" w:cs="Times New Roman" w:eastAsia="Times New Roman"/>
            <w:sz w:val="28"/>
            <w:szCs w:val="28"/>
          </w:rPr>
          <w:t xml:space="preserve"> статті 10 </w:t>
        </w:r>
      </w:hyperlink>
      <w:r>
        <w:rPr>
          <w:rFonts w:ascii="Times New Roman" w:hAnsi="Times New Roman" w:cs="Times New Roman" w:eastAsia="Times New Roman"/>
          <w:sz w:val="28"/>
          <w:szCs w:val="28"/>
        </w:rPr>
        <w:t xml:space="preserve">Закону України «Про статус ветеранів війни, гарантії їх соціального захисту»;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numPr>
          <w:ilvl w:val="0"/>
          <w:numId w:val="2"/>
        </w:numPr>
        <w:ind w:left="0" w:right="0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дітей осіб які мають статус «учасник бойових дій» (згідно п.19 ст.3 Закону України «Про статус ветеранів війни, гарантії їх соціального захисту»)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numPr>
          <w:ilvl w:val="0"/>
          <w:numId w:val="2"/>
        </w:numPr>
        <w:ind w:left="0" w:right="0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дітей, один з батьків яких загинув (пропав безвісти), помер під час захисту незалежності та суверенітету України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numPr>
          <w:ilvl w:val="0"/>
          <w:numId w:val="2"/>
        </w:numPr>
        <w:ind w:left="0" w:right="0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дітей з інвалідністю;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numPr>
          <w:ilvl w:val="0"/>
          <w:numId w:val="2"/>
        </w:numPr>
        <w:ind w:left="0" w:right="0" w:firstLine="36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 виняткових випадках (в разі, якщо сім’я опинилась в складних життєвих обставинах або батьки несп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роможні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7"/>
        <w:numPr>
          <w:ilvl w:val="0"/>
          <w:numId w:val="3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абезпечити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гарячим харчуванням, з оплатою в розмірі 50% від вартості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харчування,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дітей з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сімей в яких троє і більше дітей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до 18 років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817"/>
        <w:numPr>
          <w:ilvl w:val="0"/>
          <w:numId w:val="3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Встановити батьківську плату за один день харчування в закладі загальної середньої освіти в сумі 100% від фактичної вартості харчування в день, яка формується на перше число кожного місяця для учнів 1-11 класів (крім учнів пільгових категорій).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817"/>
        <w:numPr>
          <w:ilvl w:val="0"/>
          <w:numId w:val="3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Батьки вносять плату за харчування лише за дні відвідування та харчування учня в закладі освіти.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817"/>
        <w:numPr>
          <w:ilvl w:val="0"/>
          <w:numId w:val="3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 вступає в дію з 01.01.202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року.</w:t>
      </w:r>
      <w:r>
        <w:rPr>
          <w:rFonts w:ascii="Times New Roman" w:hAnsi="Times New Roman" w:cs="Times New Roman" w:eastAsia="Times New Roman"/>
          <w:sz w:val="28"/>
          <w:lang w:val="uk-UA"/>
        </w:rPr>
      </w:r>
    </w:p>
    <w:p>
      <w:pPr>
        <w:pStyle w:val="817"/>
        <w:numPr>
          <w:ilvl w:val="0"/>
          <w:numId w:val="3"/>
        </w:numPr>
        <w:ind w:left="0" w:right="0" w:firstLine="567"/>
        <w:jc w:val="both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  <w:lang w:val="uk-UA" w:bidi="en-US"/>
        </w:rPr>
        <w:t xml:space="preserve">Конт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роль за виконанням рішення покласти на комісію </w:t>
      </w:r>
      <w:r>
        <w:rPr>
          <w:rFonts w:ascii="Times New Roman" w:hAnsi="Times New Roman" w:cs="Times New Roman" w:eastAsia="Times New Roman"/>
          <w:color w:val="000000" w:themeColor="text1"/>
          <w:sz w:val="28"/>
          <w:lang w:bidi="en-US"/>
        </w:rPr>
        <w:t xml:space="preserve">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Прищепу В.В.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18"/>
        <w:ind w:left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tabs>
          <w:tab w:val="left" w:pos="652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ru-RU"/>
        </w:rPr>
        <w:tab/>
        <w:t xml:space="preserve">Г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ru-RU"/>
        </w:rPr>
        <w:t xml:space="preserve">еннадій ПРИМАКОВ</w:t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283" w:footer="264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Rule="auto" w:line="240" w:after="0" w:afterAutospacing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  <w:r/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127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6">
    <w:name w:val="Heading 1 Char"/>
    <w:basedOn w:val="813"/>
    <w:link w:val="812"/>
    <w:uiPriority w:val="9"/>
    <w:rPr>
      <w:rFonts w:ascii="Arial" w:hAnsi="Arial" w:cs="Arial" w:eastAsia="Arial"/>
      <w:sz w:val="40"/>
      <w:szCs w:val="40"/>
    </w:rPr>
  </w:style>
  <w:style w:type="paragraph" w:styleId="637">
    <w:name w:val="Heading 2"/>
    <w:basedOn w:val="811"/>
    <w:next w:val="811"/>
    <w:link w:val="6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8">
    <w:name w:val="Heading 2 Char"/>
    <w:basedOn w:val="813"/>
    <w:link w:val="637"/>
    <w:uiPriority w:val="9"/>
    <w:rPr>
      <w:rFonts w:ascii="Arial" w:hAnsi="Arial" w:cs="Arial" w:eastAsia="Arial"/>
      <w:sz w:val="34"/>
    </w:rPr>
  </w:style>
  <w:style w:type="paragraph" w:styleId="639">
    <w:name w:val="Heading 3"/>
    <w:basedOn w:val="811"/>
    <w:next w:val="811"/>
    <w:link w:val="64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0">
    <w:name w:val="Heading 3 Char"/>
    <w:basedOn w:val="813"/>
    <w:link w:val="639"/>
    <w:uiPriority w:val="9"/>
    <w:rPr>
      <w:rFonts w:ascii="Arial" w:hAnsi="Arial" w:cs="Arial" w:eastAsia="Arial"/>
      <w:sz w:val="30"/>
      <w:szCs w:val="30"/>
    </w:rPr>
  </w:style>
  <w:style w:type="paragraph" w:styleId="641">
    <w:name w:val="Heading 4"/>
    <w:basedOn w:val="811"/>
    <w:next w:val="811"/>
    <w:link w:val="64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2">
    <w:name w:val="Heading 4 Char"/>
    <w:basedOn w:val="813"/>
    <w:link w:val="641"/>
    <w:uiPriority w:val="9"/>
    <w:rPr>
      <w:rFonts w:ascii="Arial" w:hAnsi="Arial" w:cs="Arial" w:eastAsia="Arial"/>
      <w:b/>
      <w:bCs/>
      <w:sz w:val="26"/>
      <w:szCs w:val="26"/>
    </w:rPr>
  </w:style>
  <w:style w:type="paragraph" w:styleId="643">
    <w:name w:val="Heading 5"/>
    <w:basedOn w:val="811"/>
    <w:next w:val="811"/>
    <w:link w:val="64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4">
    <w:name w:val="Heading 5 Char"/>
    <w:basedOn w:val="813"/>
    <w:link w:val="643"/>
    <w:uiPriority w:val="9"/>
    <w:rPr>
      <w:rFonts w:ascii="Arial" w:hAnsi="Arial" w:cs="Arial" w:eastAsia="Arial"/>
      <w:b/>
      <w:bCs/>
      <w:sz w:val="24"/>
      <w:szCs w:val="24"/>
    </w:rPr>
  </w:style>
  <w:style w:type="paragraph" w:styleId="645">
    <w:name w:val="Heading 6"/>
    <w:basedOn w:val="811"/>
    <w:next w:val="811"/>
    <w:link w:val="64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6">
    <w:name w:val="Heading 6 Char"/>
    <w:basedOn w:val="813"/>
    <w:link w:val="645"/>
    <w:uiPriority w:val="9"/>
    <w:rPr>
      <w:rFonts w:ascii="Arial" w:hAnsi="Arial" w:cs="Arial" w:eastAsia="Arial"/>
      <w:b/>
      <w:bCs/>
      <w:sz w:val="22"/>
      <w:szCs w:val="22"/>
    </w:rPr>
  </w:style>
  <w:style w:type="paragraph" w:styleId="647">
    <w:name w:val="Heading 7"/>
    <w:basedOn w:val="811"/>
    <w:next w:val="811"/>
    <w:link w:val="64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8">
    <w:name w:val="Heading 7 Char"/>
    <w:basedOn w:val="813"/>
    <w:link w:val="64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9">
    <w:name w:val="Heading 8"/>
    <w:basedOn w:val="811"/>
    <w:next w:val="811"/>
    <w:link w:val="6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0">
    <w:name w:val="Heading 8 Char"/>
    <w:basedOn w:val="813"/>
    <w:link w:val="649"/>
    <w:uiPriority w:val="9"/>
    <w:rPr>
      <w:rFonts w:ascii="Arial" w:hAnsi="Arial" w:cs="Arial" w:eastAsia="Arial"/>
      <w:i/>
      <w:iCs/>
      <w:sz w:val="22"/>
      <w:szCs w:val="22"/>
    </w:rPr>
  </w:style>
  <w:style w:type="paragraph" w:styleId="651">
    <w:name w:val="Heading 9"/>
    <w:basedOn w:val="811"/>
    <w:next w:val="811"/>
    <w:link w:val="65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2">
    <w:name w:val="Heading 9 Char"/>
    <w:basedOn w:val="813"/>
    <w:link w:val="651"/>
    <w:uiPriority w:val="9"/>
    <w:rPr>
      <w:rFonts w:ascii="Arial" w:hAnsi="Arial" w:cs="Arial" w:eastAsia="Arial"/>
      <w:i/>
      <w:iCs/>
      <w:sz w:val="21"/>
      <w:szCs w:val="21"/>
    </w:rPr>
  </w:style>
  <w:style w:type="paragraph" w:styleId="653">
    <w:name w:val="Title"/>
    <w:basedOn w:val="811"/>
    <w:next w:val="811"/>
    <w:link w:val="65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4">
    <w:name w:val="Title Char"/>
    <w:basedOn w:val="813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qFormat/>
    <w:uiPriority w:val="11"/>
    <w:rPr>
      <w:sz w:val="24"/>
      <w:szCs w:val="24"/>
    </w:rPr>
    <w:pPr>
      <w:spacing w:after="200" w:before="200"/>
    </w:pPr>
  </w:style>
  <w:style w:type="character" w:styleId="656">
    <w:name w:val="Subtitle Char"/>
    <w:basedOn w:val="813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3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3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DEBF6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BCBCB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FEBF6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FEBF6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67A4D8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BFBFBF" w:themeColor="text1" w:themeTint="40"/>
    </w:tblPr>
    <w:tblStylePr w:type="band1Horz">
      <w:tcPr>
        <w:shd w:val="clear" w:color="FFFFFF" w:fill="8A8A8A" w:themeColor="text1" w:themeTint="75"/>
      </w:tcPr>
    </w:tblStylePr>
    <w:tblStylePr w:type="band1Vert">
      <w:tcPr>
        <w:shd w:val="clear" w:color="FFFFFF" w:fill="8A8A8A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000000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DEBF6" w:themeColor="accent1" w:themeTint="34"/>
    </w:tblPr>
    <w:tblStylePr w:type="band1Horz">
      <w:tcPr>
        <w:shd w:val="clear" w:color="FFFFFF" w:fill="B4D2EB" w:themeColor="accent1" w:themeTint="75"/>
      </w:tcPr>
    </w:tblStylePr>
    <w:tblStylePr w:type="band1Vert">
      <w:tcPr>
        <w:shd w:val="clear" w:color="FFFFFF" w:fill="B4D2EB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5B9BD5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BE5D6" w:themeColor="accent2" w:themeTint="32"/>
    </w:tblPr>
    <w:tblStylePr w:type="band1Horz">
      <w:tcPr>
        <w:shd w:val="clear" w:color="FFFFFF" w:fill="F6C3A1" w:themeColor="accent2" w:themeTint="75"/>
      </w:tcPr>
    </w:tblStylePr>
    <w:tblStylePr w:type="band1Vert">
      <w:tcPr>
        <w:shd w:val="clear" w:color="FFFFFF" w:fill="F6C3A1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ED7D31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DEDED" w:themeColor="accent3" w:themeTint="34"/>
    </w:tblPr>
    <w:tblStylePr w:type="band1Horz">
      <w:tcPr>
        <w:shd w:val="clear" w:color="FFFFFF" w:fill="D6D6D6" w:themeColor="accent3" w:themeTint="75"/>
      </w:tcPr>
    </w:tblStylePr>
    <w:tblStylePr w:type="band1Vert">
      <w:tcPr>
        <w:shd w:val="clear" w:color="FFFFFF" w:fill="D6D6D6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A5A5A5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FEF2CB" w:themeColor="accent4" w:themeTint="34"/>
    </w:tblPr>
    <w:tblStylePr w:type="band1Horz">
      <w:tcPr>
        <w:shd w:val="clear" w:color="FFFFFF" w:fill="FEE189" w:themeColor="accent4" w:themeTint="75"/>
      </w:tcPr>
    </w:tblStylePr>
    <w:tblStylePr w:type="band1Vert">
      <w:tcPr>
        <w:shd w:val="clear" w:color="FFFFFF" w:fill="FEE189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FFC000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D9E2F2" w:themeColor="accent5" w:themeTint="34"/>
    </w:tblPr>
    <w:tblStylePr w:type="band1Horz">
      <w:tcPr>
        <w:shd w:val="clear" w:color="FFFFFF" w:fill="AABFE3" w:themeColor="accent5" w:themeTint="75"/>
      </w:tcPr>
    </w:tblStylePr>
    <w:tblStylePr w:type="band1Vert">
      <w:tcPr>
        <w:shd w:val="clear" w:color="FFFFFF" w:fill="AABFE3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4472C4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fill="E2EFD8" w:themeColor="accent6" w:themeTint="34"/>
    </w:tblPr>
    <w:tblStylePr w:type="band1Horz">
      <w:tcPr>
        <w:shd w:val="clear" w:color="FFFFFF" w:fill="BEDBA8" w:themeColor="accent6" w:themeTint="75"/>
      </w:tcPr>
    </w:tblStylePr>
    <w:tblStylePr w:type="band1Vert">
      <w:tcPr>
        <w:shd w:val="clear" w:color="FFFFFF" w:fill="BEDBA8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fill="70AD47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fill="CBCBCB" w:themeColor="text1" w:themeTint="34"/>
      </w:tcPr>
    </w:tblStylePr>
    <w:tblStylePr w:type="band1Vert">
      <w:tcPr>
        <w:shd w:val="clear" w:color="FFFFFF" w:fill="CBCBCB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fill="DDEBF6" w:themeColor="accent1" w:themeTint="34"/>
      </w:tcPr>
    </w:tblStylePr>
    <w:tblStylePr w:type="band1Vert">
      <w:tcPr>
        <w:shd w:val="clear" w:color="FFFFFF" w:fill="DDEBF6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BE5D6" w:themeColor="accent2" w:themeTint="32"/>
      </w:tcPr>
    </w:tblStylePr>
    <w:tblStylePr w:type="band1Vert">
      <w:tcPr>
        <w:shd w:val="clear" w:color="FFFFFF" w:fill="FBE5D6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fill="EDEDED" w:themeColor="accent3" w:themeTint="34"/>
      </w:tcPr>
    </w:tblStylePr>
    <w:tblStylePr w:type="band1Vert">
      <w:tcPr>
        <w:shd w:val="clear" w:color="FFFFFF" w:fill="EDEDED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EF2CB" w:themeColor="accent4" w:themeTint="34"/>
      </w:tcPr>
    </w:tblStylePr>
    <w:tblStylePr w:type="band1Vert">
      <w:tcPr>
        <w:shd w:val="clear" w:color="FFFFFF" w:fill="FEF2CB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D9E2F2" w:themeColor="accent5" w:themeTint="34"/>
      </w:tcPr>
    </w:tblStylePr>
    <w:tblStylePr w:type="band1Vert">
      <w:tcPr>
        <w:shd w:val="clear" w:color="FFFFFF" w:fill="D9E2F2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fill="E2EFD8" w:themeColor="accent6" w:themeTint="34"/>
      </w:tcPr>
    </w:tblStylePr>
    <w:tblStylePr w:type="band1Vert">
      <w:tcPr>
        <w:shd w:val="clear" w:color="FFFFFF" w:fill="E2EFD8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F2F2F2" w:themeColor="text1" w:themeTint="0D"/>
      </w:tcPr>
    </w:tblStylePr>
    <w:tblStylePr w:type="band1Vert">
      <w:tcPr>
        <w:shd w:val="clear" w:color="FFFFFF" w:fill="F2F2F2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fill="DDEBF6" w:themeColor="accent1" w:themeTint="34"/>
      </w:tcPr>
    </w:tblStylePr>
    <w:tblStylePr w:type="band1Vert">
      <w:tcPr>
        <w:shd w:val="clear" w:color="FFFFFF" w:fill="DDEBF6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BE5D6" w:themeColor="accent2" w:themeTint="32"/>
      </w:tcPr>
    </w:tblStylePr>
    <w:tblStylePr w:type="band1Vert">
      <w:tcPr>
        <w:shd w:val="clear" w:color="FFFFFF" w:fill="FBE5D6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fill="EDEDED" w:themeColor="accent3" w:themeTint="34"/>
      </w:tcPr>
    </w:tblStylePr>
    <w:tblStylePr w:type="band1Vert">
      <w:tcPr>
        <w:shd w:val="clear" w:color="FFFFFF" w:fill="EDEDED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EF2CB" w:themeColor="accent4" w:themeTint="34"/>
      </w:tcPr>
    </w:tblStylePr>
    <w:tblStylePr w:type="band1Vert">
      <w:tcPr>
        <w:shd w:val="clear" w:color="FFFFFF" w:fill="FEF2CB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fill="D9E2F2" w:themeColor="accent5" w:themeTint="34"/>
      </w:tcPr>
    </w:tblStylePr>
    <w:tblStylePr w:type="band1Vert">
      <w:tcPr>
        <w:shd w:val="clear" w:color="FFFFFF" w:fill="D9E2F2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fill="E2EFD8" w:themeColor="accent6" w:themeTint="34"/>
      </w:tcPr>
    </w:tblStylePr>
    <w:tblStylePr w:type="band1Vert">
      <w:tcPr>
        <w:shd w:val="clear" w:color="FFFFFF" w:fill="E2EFD8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5E6F4" w:themeColor="accent1" w:themeTint="40"/>
      </w:tcPr>
    </w:tblStylePr>
    <w:tblStylePr w:type="band1Vert">
      <w:tcPr>
        <w:shd w:val="clear" w:color="FFFFFF" w:fill="D5E6F4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ADECB" w:themeColor="accent2" w:themeTint="40"/>
      </w:tcPr>
    </w:tblStylePr>
    <w:tblStylePr w:type="band1Vert">
      <w:tcPr>
        <w:shd w:val="clear" w:color="FFFFFF" w:fill="FADECB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E8E8E8" w:themeColor="accent3" w:themeTint="40"/>
      </w:tcPr>
    </w:tblStylePr>
    <w:tblStylePr w:type="band1Vert">
      <w:tcPr>
        <w:shd w:val="clear" w:color="FFFFFF" w:fill="E8E8E8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FFEFBF" w:themeColor="accent4" w:themeTint="40"/>
      </w:tcPr>
    </w:tblStylePr>
    <w:tblStylePr w:type="band1Vert">
      <w:tcPr>
        <w:shd w:val="clear" w:color="FFFFFF" w:fill="FFEFB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CFDCF0" w:themeColor="accent5" w:themeTint="40"/>
      </w:tcPr>
    </w:tblStylePr>
    <w:tblStylePr w:type="band1Vert">
      <w:tcPr>
        <w:shd w:val="clear" w:color="FFFFFF" w:fill="CFDCF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fill="DBEBD0" w:themeColor="accent6" w:themeTint="40"/>
      </w:tcPr>
    </w:tblStylePr>
    <w:tblStylePr w:type="band1Vert">
      <w:tcPr>
        <w:shd w:val="clear" w:color="FFFFFF" w:fill="DBEBD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4B185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C9C9C9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D864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8EABDB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AD08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BFBFB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000000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5E6F4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5B9BD5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ADECB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ED7D31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E8E8E8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A5A5A5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FFEFB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FFC000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CFDCF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4472C4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DBEBD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fill="70AD47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fill="7F7F7F" w:themeColor="text1" w:themeTint="80"/>
    </w:tblPr>
    <w:tblStylePr w:type="band1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7F7F7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7F7F7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7F7F7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fill="5B9BD5" w:themeColor="accent1"/>
    </w:tblPr>
    <w:tblStylePr w:type="band1Horz">
      <w:tcPr>
        <w:shd w:val="clear" w:color="FFFFFF" w:fill="5B9BD5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5B9BD5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5B9BD5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5B9BD5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fill="F4B185" w:themeColor="accent2" w:themeTint="97"/>
    </w:tblPr>
    <w:tblStylePr w:type="band1Horz">
      <w:tcPr>
        <w:shd w:val="clear" w:color="FFFFFF" w:fill="F4B185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4B185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4B185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4B185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fill="C9C9C9" w:themeColor="accent3" w:themeTint="98"/>
    </w:tblPr>
    <w:tblStylePr w:type="band1Horz">
      <w:tcPr>
        <w:shd w:val="clear" w:color="FFFFFF" w:fill="C9C9C9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C9C9C9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C9C9C9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C9C9C9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fill="FFD864" w:themeColor="accent4" w:themeTint="9A"/>
    </w:tblPr>
    <w:tblStylePr w:type="band1Horz">
      <w:tcPr>
        <w:shd w:val="clear" w:color="FFFFFF" w:fill="FFD864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FFD864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FFD864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FFD864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fill="8EABDB" w:themeColor="accent5" w:themeTint="9A"/>
    </w:tblPr>
    <w:tblStylePr w:type="band1Horz">
      <w:tcPr>
        <w:shd w:val="clear" w:color="FFFFFF" w:fill="8EABDB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8EABDB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8EABDB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8EABDB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fill="AAD08F" w:themeColor="accent6" w:themeTint="98"/>
    </w:tblPr>
    <w:tblStylePr w:type="band1Horz">
      <w:tcPr>
        <w:shd w:val="clear" w:color="FFFFFF" w:fill="AAD08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fill="AAD08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fill="AAD08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fill="AAD08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fill="D5E6F4" w:themeColor="accent1" w:themeTint="40"/>
      </w:tcPr>
    </w:tblStylePr>
    <w:tblStylePr w:type="band1Vert">
      <w:tcPr>
        <w:shd w:val="clear" w:color="FFFFFF" w:fill="D5E6F4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fill="FADECB" w:themeColor="accent2" w:themeTint="40"/>
      </w:tcPr>
    </w:tblStylePr>
    <w:tblStylePr w:type="band1Vert">
      <w:tcPr>
        <w:shd w:val="clear" w:color="FFFFFF" w:fill="FADECB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fill="E8E8E8" w:themeColor="accent3" w:themeTint="40"/>
      </w:tcPr>
    </w:tblStylePr>
    <w:tblStylePr w:type="band1Vert">
      <w:tcPr>
        <w:shd w:val="clear" w:color="FFFFFF" w:fill="E8E8E8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fill="FFEFBF" w:themeColor="accent4" w:themeTint="40"/>
      </w:tcPr>
    </w:tblStylePr>
    <w:tblStylePr w:type="band1Vert">
      <w:tcPr>
        <w:shd w:val="clear" w:color="FFFFFF" w:fill="FFEFB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fill="CFDCF0" w:themeColor="accent5" w:themeTint="40"/>
      </w:tcPr>
    </w:tblStylePr>
    <w:tblStylePr w:type="band1Vert">
      <w:tcPr>
        <w:shd w:val="clear" w:color="FFFFFF" w:fill="CFDCF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fill="DBEBD0" w:themeColor="accent6" w:themeTint="40"/>
      </w:tcPr>
    </w:tblStylePr>
    <w:tblStylePr w:type="band1Vert">
      <w:tcPr>
        <w:shd w:val="clear" w:color="FFFFFF" w:fill="DBEBD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fill="BFBFBF" w:themeColor="text1" w:themeTint="40"/>
      </w:tcPr>
    </w:tblStylePr>
    <w:tblStylePr w:type="band1Vert">
      <w:tcPr>
        <w:shd w:val="clear" w:color="FFFFFF" w:fill="BFBFB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fill="D5E6F4" w:themeColor="accent1" w:themeTint="40"/>
      </w:tcPr>
    </w:tblStylePr>
    <w:tblStylePr w:type="band1Vert">
      <w:tcPr>
        <w:shd w:val="clear" w:color="FFFFFF" w:fill="D5E6F4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fill="FADECB" w:themeColor="accent2" w:themeTint="40"/>
      </w:tcPr>
    </w:tblStylePr>
    <w:tblStylePr w:type="band1Vert">
      <w:tcPr>
        <w:shd w:val="clear" w:color="FFFFFF" w:fill="FADECB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fill="E8E8E8" w:themeColor="accent3" w:themeTint="40"/>
      </w:tcPr>
    </w:tblStylePr>
    <w:tblStylePr w:type="band1Vert">
      <w:tcPr>
        <w:shd w:val="clear" w:color="FFFFFF" w:fill="E8E8E8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fill="FFEFBF" w:themeColor="accent4" w:themeTint="40"/>
      </w:tcPr>
    </w:tblStylePr>
    <w:tblStylePr w:type="band1Vert">
      <w:tcPr>
        <w:shd w:val="clear" w:color="FFFFFF" w:fill="FFEFB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fill="CFDCF0" w:themeColor="accent5" w:themeTint="40"/>
      </w:tcPr>
    </w:tblStylePr>
    <w:tblStylePr w:type="band1Vert">
      <w:tcPr>
        <w:shd w:val="clear" w:color="FFFFFF" w:fill="CFDCF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fill="DBEBD0" w:themeColor="accent6" w:themeTint="40"/>
      </w:tcPr>
    </w:tblStylePr>
    <w:tblStylePr w:type="band1Vert">
      <w:tcPr>
        <w:shd w:val="clear" w:color="FFFFFF" w:fill="DBEBD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73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</w:style>
  <w:style w:type="table" w:styleId="774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</w:style>
  <w:style w:type="table" w:styleId="775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</w:style>
  <w:style w:type="table" w:styleId="776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</w:style>
  <w:style w:type="table" w:styleId="777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</w:style>
  <w:style w:type="table" w:styleId="778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</w:style>
  <w:style w:type="table" w:styleId="779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2F2F2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F7F7F" w:themeColor="text1" w:themeTint="80"/>
      </w:tcPr>
    </w:tblStylePr>
  </w:style>
  <w:style w:type="table" w:styleId="780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CCE0F1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67A4D8" w:themeColor="accent1" w:themeTint="EA"/>
      </w:tcPr>
    </w:tblStylePr>
  </w:style>
  <w:style w:type="table" w:styleId="781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BE5D6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4B185" w:themeColor="accent2" w:themeTint="97"/>
      </w:tcPr>
    </w:tblStylePr>
  </w:style>
  <w:style w:type="table" w:styleId="782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DEDED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A5A5A5" w:themeColor="accent3" w:themeTint="FE"/>
      </w:tcPr>
    </w:tblStylePr>
  </w:style>
  <w:style w:type="table" w:styleId="783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FEF2CB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FFD864" w:themeColor="accent4" w:themeTint="9A"/>
      </w:tcPr>
    </w:tblStylePr>
  </w:style>
  <w:style w:type="table" w:styleId="784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D9E2F2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4472C4" w:themeColor="accent5"/>
      </w:tcPr>
    </w:tblStylePr>
  </w:style>
  <w:style w:type="table" w:styleId="785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E2EFD8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fill="70AD47" w:themeColor="accent6"/>
      </w:tcPr>
    </w:tblStylePr>
  </w:style>
  <w:style w:type="table" w:styleId="786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3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3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paragraph" w:styleId="812">
    <w:name w:val="Heading 1"/>
    <w:basedOn w:val="811"/>
    <w:next w:val="811"/>
    <w:link w:val="816"/>
    <w:rPr>
      <w:rFonts w:ascii="Times New Roman" w:hAnsi="Times New Roman" w:cs="Times New Roman" w:eastAsia="Times New Roman"/>
      <w:b/>
      <w:sz w:val="28"/>
      <w:szCs w:val="28"/>
      <w:lang w:bidi="en-US"/>
    </w:rPr>
    <w:pPr>
      <w:ind w:right="5244"/>
      <w:jc w:val="both"/>
      <w:spacing w:lineRule="auto" w:line="240" w:after="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2"/>
    <w:rPr>
      <w:rFonts w:ascii="Times New Roman" w:hAnsi="Times New Roman" w:cs="Times New Roman" w:eastAsia="Times New Roman"/>
      <w:b/>
      <w:sz w:val="28"/>
      <w:szCs w:val="28"/>
      <w:lang w:val="uk-UA" w:bidi="en-US"/>
    </w:rPr>
  </w:style>
  <w:style w:type="paragraph" w:styleId="817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18" w:customStyle="1">
    <w:name w:val="Абзац списку1"/>
    <w:basedOn w:val="811"/>
    <w:rPr>
      <w:rFonts w:ascii="Times New Roman" w:hAnsi="Times New Roman" w:cs="Times New Roman" w:eastAsia="Times New Roman"/>
      <w:sz w:val="28"/>
      <w:lang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19" w:customStyle="1">
    <w:name w:val="rvps2"/>
    <w:basedOn w:val="811"/>
    <w:rPr>
      <w:rFonts w:ascii="Times New Roman" w:hAnsi="Times New Roman" w:cs="Times New Roman" w:eastAsia="Times New Roman"/>
      <w:sz w:val="24"/>
      <w:szCs w:val="24"/>
      <w:lang w:val="ru-RU" w:bidi="en-US" w:eastAsia="ru-RU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820">
    <w:name w:val="HTML Preformatted"/>
    <w:basedOn w:val="811"/>
    <w:link w:val="821"/>
    <w:uiPriority w:val="99"/>
    <w:unhideWhenUsed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21" w:customStyle="1">
    <w:name w:val="Стандартний HTML Знак"/>
    <w:basedOn w:val="813"/>
    <w:link w:val="820"/>
    <w:uiPriority w:val="99"/>
    <w:rPr>
      <w:rFonts w:ascii="Courier New" w:hAnsi="Courier New" w:cs="Courier New" w:eastAsia="Times New Roman"/>
      <w:sz w:val="20"/>
      <w:szCs w:val="20"/>
      <w:lang w:val="uk-UA" w:eastAsia="uk-UA"/>
    </w:rPr>
  </w:style>
  <w:style w:type="paragraph" w:styleId="822">
    <w:name w:val="List Paragraph"/>
    <w:basedOn w:val="811"/>
    <w:qFormat/>
    <w:uiPriority w:val="34"/>
    <w:rPr>
      <w:rFonts w:cs="Times New Roman"/>
    </w:rPr>
    <w:pPr>
      <w:contextualSpacing w:val="true"/>
      <w:ind w:left="720"/>
      <w:spacing w:lineRule="auto" w:line="256" w:after="160"/>
    </w:pPr>
  </w:style>
  <w:style w:type="character" w:styleId="823" w:customStyle="1">
    <w:name w:val="4247"/>
    <w:basedOn w:val="81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hyperlink" Target="https://zakon.rada.gov.ua/laws/show/1768-14" TargetMode="External"/><Relationship Id="rId14" Type="http://schemas.openxmlformats.org/officeDocument/2006/relationships/hyperlink" Target="https://zakon.rada.gov.ua/laws/show/796-12" TargetMode="External"/><Relationship Id="rId15" Type="http://schemas.openxmlformats.org/officeDocument/2006/relationships/hyperlink" Target="https://zakon.rada.gov.ua/laws/show/3551-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ПРИМАКОВ Геннадій Анатолійович</cp:lastModifiedBy>
  <cp:revision>11</cp:revision>
  <dcterms:created xsi:type="dcterms:W3CDTF">2022-11-10T07:12:00Z</dcterms:created>
  <dcterms:modified xsi:type="dcterms:W3CDTF">2022-12-09T16:44:51Z</dcterms:modified>
</cp:coreProperties>
</file>