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sz w:val="28"/>
        </w:rPr>
      </w:r>
    </w:p>
    <w:p>
      <w:pPr>
        <w:pStyle w:val="820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двадцять сьома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Lucida Sans Unicode"/>
          <w:b/>
          <w:color w:val="000000"/>
          <w:sz w:val="22"/>
          <w:szCs w:val="28"/>
        </w:rPr>
      </w:pPr>
      <w:r>
        <w:rPr>
          <w:rFonts w:ascii="Times New Roman" w:hAnsi="Times New Roman" w:cs="Times New Roman" w:eastAsia="Lucida Sans Unicode"/>
          <w:b/>
          <w:color w:val="000000"/>
          <w:sz w:val="22"/>
          <w:szCs w:val="28"/>
        </w:rPr>
      </w:r>
      <w:r>
        <w:rPr>
          <w:sz w:val="22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07 грудня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  <w:t xml:space="preserve">м.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 xml:space="preserve">461</w:t>
      </w: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sz w:val="28"/>
        </w:rPr>
      </w:r>
    </w:p>
    <w:p>
      <w:pPr>
        <w:pStyle w:val="815"/>
        <w:ind w:right="50"/>
        <w:rPr>
          <w:sz w:val="28"/>
        </w:rPr>
      </w:pPr>
      <w:r>
        <w:rPr>
          <w:sz w:val="28"/>
        </w:rPr>
        <w:t xml:space="preserve">Про </w:t>
      </w:r>
      <w:r>
        <w:rPr>
          <w:sz w:val="28"/>
        </w:rPr>
        <w:t xml:space="preserve">встановлення розміру вартості харчування та плати за харчування дітей у </w:t>
      </w:r>
      <w:r>
        <w:rPr>
          <w:sz w:val="28"/>
        </w:rPr>
        <w:t xml:space="preserve">закладах дошкільної освіти Менської міської ради у 202</w:t>
      </w:r>
      <w:r>
        <w:rPr>
          <w:sz w:val="28"/>
        </w:rPr>
        <w:t xml:space="preserve">3</w:t>
      </w:r>
      <w:r>
        <w:rPr>
          <w:sz w:val="28"/>
        </w:rPr>
        <w:t xml:space="preserve"> році</w:t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bidi="en-US"/>
        </w:rPr>
      </w:r>
      <w:r>
        <w:rPr>
          <w:sz w:val="28"/>
        </w:rPr>
      </w:r>
    </w:p>
    <w:p>
      <w:pPr>
        <w:ind w:right="0" w:firstLine="567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вимог Законів України «Про освіту», «Про дошкільну освіту», «Про охорону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дитинства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Про державну соціальну допомогу малозабезпеченим сім’ям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»,</w:t>
      </w:r>
      <w:r>
        <w:rPr>
          <w:rFonts w:ascii="Times New Roman" w:hAnsi="Times New Roman" w:cs="Times New Roman"/>
          <w:sz w:val="28"/>
          <w:szCs w:val="28"/>
        </w:rPr>
        <w:t xml:space="preserve"> “Про статус і соціальний захист громадян, які постраждали внаслідок Чорнобильської катастрофи”, “Про статус ветеранів війни, гарантії їх соціального захисту”,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«Про внесення змін до деяких Законів України щодо забезпечення безкоштовним харчуванням дітей внутрішньо переміщених осіб» від 16.01.2020 №474-ІX, «Про внесення змін до деяких законів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України щодо забезпечення безкоштовним харчуванням дітей, один з батьків яких загинув (пропав безвісти), помер під час захисту незалежності та суверенітету України» від 05.11.2020 №978-ІX, постанов Кабінету Міністрів України від 02.02.2011 р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18.01.2016  №16 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від 24.03.2021 №305 «Про затвердження</w:t>
      </w:r>
      <w:r>
        <w:rPr>
          <w:rFonts w:ascii="Times New Roman" w:hAnsi="Times New Roman"/>
          <w:sz w:val="28"/>
          <w:szCs w:val="28"/>
        </w:rPr>
        <w:t xml:space="preserve"> Порядку організації харчування у закладах освіти та дитячих закладах оздоровлення та відпочинку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 (зі змінами), наказу Міністерства освіти і науки України від 21.11.2002 року №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(зі змінами)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на виконання рішення 15 сесії Менської міської ради 8 скликання від 09.12.2021 року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818 «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 затвердження Програми організації харчування дітей у закладах дошкільної освіти Менської міської ради на 2022-2024 роки»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(зі змінами)</w:t>
      </w:r>
      <w:bookmarkStart w:id="1" w:name="_GoBack"/>
      <w:r>
        <w:rPr>
          <w:sz w:val="28"/>
        </w:rPr>
      </w:r>
      <w:bookmarkEnd w:id="1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 xml:space="preserve">26</w:t>
      </w:r>
      <w:r>
        <w:rPr>
          <w:rFonts w:ascii="Times New Roman" w:hAnsi="Times New Roman" w:cs="Times New Roman"/>
          <w:sz w:val="28"/>
          <w:szCs w:val="28"/>
        </w:rPr>
        <w:t xml:space="preserve"> сесії Менської міської ради 8 скликання від 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.1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«</w:t>
      </w:r>
      <w:bookmarkStart w:id="2" w:name="_Toc502337417"/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Про внесення змін до </w:t>
      </w:r>
      <w:bookmarkEnd w:id="2"/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Програми організації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 харчування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дітей в закладах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д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ошкільної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освіти Менської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міської ради на 2022-2024 роки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»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 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метою </w:t>
      </w:r>
      <w:r>
        <w:rPr>
          <w:rFonts w:ascii="Times New Roman" w:hAnsi="Times New Roman" w:cs="Times New Roman"/>
          <w:sz w:val="28"/>
          <w:szCs w:val="28"/>
        </w:rPr>
        <w:t xml:space="preserve">створення умов для </w:t>
      </w:r>
      <w:r>
        <w:rPr>
          <w:rFonts w:ascii="Times New Roman" w:hAnsi="Times New Roman" w:cs="Times New Roman" w:eastAsia="Batang"/>
          <w:sz w:val="28"/>
          <w:szCs w:val="28"/>
          <w:shd w:val="clear" w:fill="FFFFFF" w:color="auto"/>
          <w:lang w:eastAsia="ru-RU"/>
        </w:rPr>
        <w:t xml:space="preserve">збереження здоров’я дітей та забезпечення повноцінного і раціонального харчування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Менська міська рада</w:t>
      </w:r>
      <w:r>
        <w:rPr>
          <w:sz w:val="28"/>
        </w:rPr>
      </w:r>
    </w:p>
    <w:p>
      <w:pPr>
        <w:ind w:right="-4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ити з 01.01.2023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вартість харчування однієї дитини в день, в закладах дошкільної освіти Менської міської ради, в розмірі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грн 00коп.  в день.</w:t>
      </w:r>
      <w:r>
        <w:rPr>
          <w:rFonts w:ascii="Times New Roman" w:hAnsi="Times New Roman" w:cs="Times New Roman"/>
          <w:sz w:val="28"/>
          <w:lang w:eastAsia="ru-RU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Встановити з 01.01.202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розмір плати за харчування однієї дитини в день, в закладах дошкільної освіти Менської міської ради, в розмірі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коп., що складає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 від вартості харчування в день. </w:t>
      </w:r>
      <w:r>
        <w:rPr>
          <w:rFonts w:ascii="Times New Roman" w:hAnsi="Times New Roman" w:cs="Times New Roman"/>
          <w:sz w:val="28"/>
          <w:lang w:eastAsia="ru-RU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Забезпечити безоплатним гарячим харчуванням за рахунок коштів місцевого б</w:t>
      </w:r>
      <w:r>
        <w:rPr>
          <w:rFonts w:ascii="Times New Roman" w:hAnsi="Times New Roman" w:cs="Times New Roman"/>
          <w:sz w:val="28"/>
          <w:szCs w:val="28"/>
        </w:rPr>
        <w:t xml:space="preserve">юджету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встановленого в закладі освіти режиму (кратності) харчування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 вихованці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 xml:space="preserve"> дошкільної</w:t>
      </w:r>
      <w:r>
        <w:rPr>
          <w:rFonts w:ascii="Times New Roman" w:hAnsi="Times New Roman" w:cs="Times New Roman"/>
          <w:sz w:val="28"/>
          <w:szCs w:val="28"/>
        </w:rPr>
        <w:t xml:space="preserve"> освіти з числа: </w:t>
      </w:r>
      <w:r>
        <w:rPr>
          <w:sz w:val="28"/>
        </w:rPr>
      </w:r>
    </w:p>
    <w:p>
      <w:pPr>
        <w:numPr>
          <w:ilvl w:val="0"/>
          <w:numId w:val="2"/>
        </w:numPr>
        <w:ind w:left="0" w:right="0" w:firstLine="425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дітей-сиріт;</w:t>
      </w:r>
      <w:r>
        <w:rPr>
          <w:sz w:val="28"/>
        </w:rPr>
      </w:r>
    </w:p>
    <w:p>
      <w:pPr>
        <w:numPr>
          <w:ilvl w:val="0"/>
          <w:numId w:val="2"/>
        </w:numPr>
        <w:ind w:left="0" w:right="0" w:firstLine="425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дітей, позбавлених батьківського піклування;</w:t>
      </w:r>
      <w:r>
        <w:rPr>
          <w:sz w:val="28"/>
        </w:rPr>
      </w:r>
    </w:p>
    <w:p>
      <w:pPr>
        <w:numPr>
          <w:ilvl w:val="0"/>
          <w:numId w:val="2"/>
        </w:numPr>
        <w:ind w:left="0" w:right="0" w:firstLine="425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дітей з особливими освітніми потребами, які навчаються у спеціальних та інклюзивних класах (групах);</w:t>
      </w:r>
      <w:r>
        <w:rPr>
          <w:sz w:val="28"/>
        </w:rPr>
      </w:r>
    </w:p>
    <w:p>
      <w:pPr>
        <w:numPr>
          <w:ilvl w:val="0"/>
          <w:numId w:val="2"/>
        </w:numPr>
        <w:ind w:left="0" w:right="0" w:firstLine="425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дітей із сімей, які отримують допомогу відповідно до </w:t>
      </w:r>
      <w:hyperlink r:id="rId13" w:tooltip="https://zakon.rada.gov.ua/laws/show/1768-14" w:history="1">
        <w:r>
          <w:rPr>
            <w:rFonts w:ascii="Times New Roman" w:hAnsi="Times New Roman" w:cs="Times New Roman"/>
            <w:sz w:val="28"/>
          </w:rPr>
          <w:t xml:space="preserve">Закону України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“Про державну соціальну допомогу малозабезпеченим сім’ям”;</w:t>
      </w:r>
      <w:r>
        <w:rPr>
          <w:sz w:val="28"/>
        </w:rPr>
      </w:r>
    </w:p>
    <w:p>
      <w:pPr>
        <w:numPr>
          <w:ilvl w:val="0"/>
          <w:numId w:val="2"/>
        </w:numPr>
        <w:ind w:left="0" w:right="0" w:firstLine="425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учнів закладів освіти, розташованих на територіях радіоактивного забруднення, а</w:t>
      </w:r>
      <w:r>
        <w:rPr>
          <w:rFonts w:ascii="Times New Roman" w:hAnsi="Times New Roman" w:cs="Times New Roman"/>
          <w:sz w:val="28"/>
          <w:szCs w:val="28"/>
        </w:rPr>
        <w:t xml:space="preserve">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 </w:t>
      </w:r>
      <w:hyperlink r:id="rId14" w:tooltip="https://zakon.rada.gov.ua/laws/show/796-12" w:history="1">
        <w:r>
          <w:rPr>
            <w:rFonts w:ascii="Times New Roman" w:hAnsi="Times New Roman" w:cs="Times New Roman"/>
            <w:sz w:val="28"/>
          </w:rPr>
          <w:t xml:space="preserve">Закону України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“Про статус і соціальний захист громадян, які постраждали внаслідок Чорнобильської катастрофи”;</w:t>
      </w:r>
      <w:r>
        <w:rPr>
          <w:sz w:val="28"/>
        </w:rPr>
      </w:r>
    </w:p>
    <w:p>
      <w:pPr>
        <w:numPr>
          <w:ilvl w:val="0"/>
          <w:numId w:val="2"/>
        </w:numPr>
        <w:ind w:left="0" w:right="0" w:firstLine="425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дітей з числа внутрішньо переміщених осіб, діти, які мають статус дитини, яка постраждала внаслідок воєнних дій і збройних конфліктів;</w:t>
      </w:r>
      <w:r>
        <w:rPr>
          <w:sz w:val="28"/>
        </w:rPr>
      </w:r>
    </w:p>
    <w:p>
      <w:pPr>
        <w:numPr>
          <w:ilvl w:val="0"/>
          <w:numId w:val="2"/>
        </w:numPr>
        <w:ind w:left="0" w:right="0" w:firstLine="425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дітей з числа осіб, визначених у</w:t>
      </w:r>
      <w:hyperlink r:id="rId15" w:tooltip="https://zakon.rada.gov.ua/laws/show/3551-12#n147" w:anchor="n147" w:history="1">
        <w:r>
          <w:rPr>
            <w:rFonts w:ascii="Times New Roman" w:hAnsi="Times New Roman" w:cs="Times New Roman"/>
            <w:sz w:val="28"/>
          </w:rPr>
          <w:t xml:space="preserve"> статті 10 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Закону України “Про статус ветеранів війни, гарантії їх соціального захисту”;</w:t>
      </w:r>
      <w:r>
        <w:rPr>
          <w:sz w:val="28"/>
        </w:rPr>
      </w:r>
    </w:p>
    <w:p>
      <w:pPr>
        <w:numPr>
          <w:ilvl w:val="0"/>
          <w:numId w:val="2"/>
        </w:numPr>
        <w:ind w:left="0" w:right="0" w:firstLine="425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дітей осіб які мають статус «учасник бойових дій» (згідно п.19 ст.3 Закону України «Про статус ветеранів війни, гарантії їх соціального захисту»)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sz w:val="28"/>
        </w:rPr>
      </w:r>
    </w:p>
    <w:p>
      <w:pPr>
        <w:numPr>
          <w:ilvl w:val="0"/>
          <w:numId w:val="2"/>
        </w:numPr>
        <w:ind w:left="0" w:right="0" w:firstLine="425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дітей, один з батьків яких загинув (пропав безвісти), помер під час захисту незалежності та суверенітету України</w:t>
      </w:r>
      <w:r>
        <w:rPr>
          <w:sz w:val="28"/>
        </w:rPr>
      </w:r>
    </w:p>
    <w:p>
      <w:pPr>
        <w:numPr>
          <w:ilvl w:val="0"/>
          <w:numId w:val="2"/>
        </w:numPr>
        <w:ind w:left="0" w:right="0" w:firstLine="425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дітей з інвалідністю;</w:t>
      </w:r>
      <w:r>
        <w:rPr>
          <w:sz w:val="28"/>
        </w:rPr>
      </w:r>
    </w:p>
    <w:p>
      <w:pPr>
        <w:numPr>
          <w:ilvl w:val="0"/>
          <w:numId w:val="2"/>
        </w:numPr>
        <w:ind w:left="0" w:right="0" w:firstLine="425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у виняткових випадках (в разі, якщо сім’я опинилась в складних життєвих обставинах або батьки несп</w:t>
      </w:r>
      <w:r>
        <w:rPr>
          <w:rFonts w:ascii="Times New Roman" w:hAnsi="Times New Roman" w:cs="Times New Roman"/>
          <w:sz w:val="28"/>
          <w:szCs w:val="28"/>
        </w:rPr>
        <w:t xml:space="preserve">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ради)).</w:t>
      </w:r>
      <w:r>
        <w:rPr>
          <w:sz w:val="28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Зменшити розмір плати за харчування дітей </w:t>
      </w:r>
      <w:r>
        <w:rPr>
          <w:rFonts w:ascii="Times New Roman" w:hAnsi="Times New Roman" w:cs="Times New Roman"/>
          <w:sz w:val="28"/>
          <w:szCs w:val="28"/>
        </w:rPr>
        <w:t xml:space="preserve">у закладах дошкільної освіти Менської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50% для батьків, у сім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’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ях яких троє і більше дітей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18 років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Рі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шення вступає в дію з 01.01.202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року.</w:t>
      </w:r>
      <w:r>
        <w:rPr>
          <w:rFonts w:ascii="Times New Roman" w:hAnsi="Times New Roman" w:cs="Times New Roman"/>
          <w:sz w:val="28"/>
          <w:lang w:eastAsia="ru-RU"/>
        </w:rPr>
      </w:r>
    </w:p>
    <w:p>
      <w:pPr>
        <w:numPr>
          <w:ilvl w:val="0"/>
          <w:numId w:val="1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lang w:bidi="en-US" w:eastAsia="ru-RU"/>
        </w:rPr>
        <w:t xml:space="preserve">Контроль за виконанням рішення покласти на комісію</w:t>
      </w:r>
      <w:r>
        <w:rPr>
          <w:rFonts w:ascii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bidi="en-US" w:eastAsia="ru-RU"/>
        </w:rPr>
        <w:t xml:space="preserve">з питань охорони здоров’я, соціального захисту населення, освіти, культури, молоді, фізкультури і спорт</w:t>
      </w:r>
      <w:r>
        <w:rPr>
          <w:rFonts w:ascii="Times New Roman" w:hAnsi="Times New Roman" w:cs="Times New Roman"/>
          <w:sz w:val="28"/>
          <w:lang w:bidi="en-US" w:eastAsia="ru-RU"/>
        </w:rPr>
        <w:t xml:space="preserve">у та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заступника міського  голови з питань діяльності виконавчих органів ради Прищепу В.В.</w:t>
      </w:r>
      <w:r>
        <w:rPr>
          <w:sz w:val="28"/>
        </w:rPr>
      </w:r>
    </w:p>
    <w:p>
      <w:pPr>
        <w:pStyle w:val="8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spacing w:lineRule="auto" w:line="240" w:after="0"/>
        <w:tabs>
          <w:tab w:val="left" w:pos="6520" w:leader="none"/>
        </w:tabs>
        <w:rPr>
          <w:sz w:val="28"/>
        </w:rPr>
      </w:pP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ab/>
        <w:t xml:space="preserve">Г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еннадій ПРИМАКОВ</w:t>
      </w:r>
      <w:r>
        <w:rPr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9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59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16"/>
    <w:link w:val="815"/>
    <w:uiPriority w:val="9"/>
    <w:rPr>
      <w:rFonts w:ascii="Arial" w:hAnsi="Arial" w:cs="Arial" w:eastAsia="Arial"/>
      <w:sz w:val="40"/>
      <w:szCs w:val="40"/>
    </w:rPr>
  </w:style>
  <w:style w:type="paragraph" w:styleId="639">
    <w:name w:val="Heading 2"/>
    <w:basedOn w:val="814"/>
    <w:next w:val="814"/>
    <w:link w:val="6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0">
    <w:name w:val="Heading 2 Char"/>
    <w:basedOn w:val="816"/>
    <w:link w:val="639"/>
    <w:uiPriority w:val="9"/>
    <w:rPr>
      <w:rFonts w:ascii="Arial" w:hAnsi="Arial" w:cs="Arial" w:eastAsia="Arial"/>
      <w:sz w:val="34"/>
    </w:rPr>
  </w:style>
  <w:style w:type="paragraph" w:styleId="641">
    <w:name w:val="Heading 3"/>
    <w:basedOn w:val="814"/>
    <w:next w:val="814"/>
    <w:link w:val="6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2">
    <w:name w:val="Heading 3 Char"/>
    <w:basedOn w:val="816"/>
    <w:link w:val="641"/>
    <w:uiPriority w:val="9"/>
    <w:rPr>
      <w:rFonts w:ascii="Arial" w:hAnsi="Arial" w:cs="Arial" w:eastAsia="Arial"/>
      <w:sz w:val="30"/>
      <w:szCs w:val="30"/>
    </w:rPr>
  </w:style>
  <w:style w:type="paragraph" w:styleId="643">
    <w:name w:val="Heading 4"/>
    <w:basedOn w:val="814"/>
    <w:next w:val="814"/>
    <w:link w:val="6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4">
    <w:name w:val="Heading 4 Char"/>
    <w:basedOn w:val="816"/>
    <w:link w:val="643"/>
    <w:uiPriority w:val="9"/>
    <w:rPr>
      <w:rFonts w:ascii="Arial" w:hAnsi="Arial" w:cs="Arial" w:eastAsia="Arial"/>
      <w:b/>
      <w:bCs/>
      <w:sz w:val="26"/>
      <w:szCs w:val="26"/>
    </w:rPr>
  </w:style>
  <w:style w:type="paragraph" w:styleId="645">
    <w:name w:val="Heading 5"/>
    <w:basedOn w:val="814"/>
    <w:next w:val="814"/>
    <w:link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6">
    <w:name w:val="Heading 5 Char"/>
    <w:basedOn w:val="816"/>
    <w:link w:val="645"/>
    <w:uiPriority w:val="9"/>
    <w:rPr>
      <w:rFonts w:ascii="Arial" w:hAnsi="Arial" w:cs="Arial" w:eastAsia="Arial"/>
      <w:b/>
      <w:bCs/>
      <w:sz w:val="24"/>
      <w:szCs w:val="24"/>
    </w:rPr>
  </w:style>
  <w:style w:type="paragraph" w:styleId="647">
    <w:name w:val="Heading 6"/>
    <w:basedOn w:val="814"/>
    <w:next w:val="814"/>
    <w:link w:val="6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8">
    <w:name w:val="Heading 6 Char"/>
    <w:basedOn w:val="816"/>
    <w:link w:val="647"/>
    <w:uiPriority w:val="9"/>
    <w:rPr>
      <w:rFonts w:ascii="Arial" w:hAnsi="Arial" w:cs="Arial" w:eastAsia="Arial"/>
      <w:b/>
      <w:bCs/>
      <w:sz w:val="22"/>
      <w:szCs w:val="22"/>
    </w:rPr>
  </w:style>
  <w:style w:type="paragraph" w:styleId="649">
    <w:name w:val="Heading 7"/>
    <w:basedOn w:val="814"/>
    <w:next w:val="814"/>
    <w:link w:val="65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0">
    <w:name w:val="Heading 7 Char"/>
    <w:basedOn w:val="816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1">
    <w:name w:val="Heading 8"/>
    <w:basedOn w:val="814"/>
    <w:next w:val="814"/>
    <w:link w:val="65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2">
    <w:name w:val="Heading 8 Char"/>
    <w:basedOn w:val="816"/>
    <w:link w:val="651"/>
    <w:uiPriority w:val="9"/>
    <w:rPr>
      <w:rFonts w:ascii="Arial" w:hAnsi="Arial" w:cs="Arial" w:eastAsia="Arial"/>
      <w:i/>
      <w:iCs/>
      <w:sz w:val="22"/>
      <w:szCs w:val="22"/>
    </w:rPr>
  </w:style>
  <w:style w:type="paragraph" w:styleId="653">
    <w:name w:val="Heading 9"/>
    <w:basedOn w:val="814"/>
    <w:next w:val="814"/>
    <w:link w:val="6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>
    <w:name w:val="Heading 9 Char"/>
    <w:basedOn w:val="816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55">
    <w:name w:val="List Paragraph"/>
    <w:basedOn w:val="814"/>
    <w:qFormat/>
    <w:uiPriority w:val="34"/>
    <w:pPr>
      <w:contextualSpacing w:val="true"/>
      <w:ind w:left="72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6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6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6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6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EBF6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EBF6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7A4D8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DEBF6" w:themeColor="accent1" w:themeTint="34"/>
    </w:tblPr>
    <w:tblStylePr w:type="band1Horz">
      <w:tcPr>
        <w:shd w:val="clear" w:color="FFFFFF" w:fill="B4D2EB" w:themeColor="accent1" w:themeTint="75"/>
      </w:tcPr>
    </w:tblStylePr>
    <w:tblStylePr w:type="band1Vert">
      <w:tcPr>
        <w:shd w:val="clear" w:color="FFFFFF" w:fill="B4D2EB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BE5D6" w:themeColor="accent2" w:themeTint="32"/>
    </w:tblPr>
    <w:tblStylePr w:type="band1Horz">
      <w:tcPr>
        <w:shd w:val="clear" w:color="FFFFFF" w:fill="F6C3A1" w:themeColor="accent2" w:themeTint="75"/>
      </w:tcPr>
    </w:tblStylePr>
    <w:tblStylePr w:type="band1Vert">
      <w:tcPr>
        <w:shd w:val="clear" w:color="FFFFFF" w:fill="F6C3A1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DEDED" w:themeColor="accent3" w:themeTint="34"/>
    </w:tblPr>
    <w:tblStylePr w:type="band1Horz">
      <w:tcPr>
        <w:shd w:val="clear" w:color="FFFFFF" w:fill="D6D6D6" w:themeColor="accent3" w:themeTint="75"/>
      </w:tcPr>
    </w:tblStylePr>
    <w:tblStylePr w:type="band1Vert">
      <w:tcPr>
        <w:shd w:val="clear" w:color="FFFFFF" w:fill="D6D6D6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EF2CB" w:themeColor="accent4" w:themeTint="34"/>
    </w:tblPr>
    <w:tblStylePr w:type="band1Horz">
      <w:tcPr>
        <w:shd w:val="clear" w:color="FFFFFF" w:fill="FEE189" w:themeColor="accent4" w:themeTint="75"/>
      </w:tcPr>
    </w:tblStylePr>
    <w:tblStylePr w:type="band1Vert">
      <w:tcPr>
        <w:shd w:val="clear" w:color="FFFFFF" w:fill="FEE189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9E2F2" w:themeColor="accent5" w:themeTint="34"/>
    </w:tblPr>
    <w:tblStylePr w:type="band1Horz">
      <w:tcPr>
        <w:shd w:val="clear" w:color="FFFFFF" w:fill="AABFE3" w:themeColor="accent5" w:themeTint="75"/>
      </w:tcPr>
    </w:tblStylePr>
    <w:tblStylePr w:type="band1Vert">
      <w:tcPr>
        <w:shd w:val="clear" w:color="FFFFFF" w:fill="AABFE3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2EFD8" w:themeColor="accent6" w:themeTint="34"/>
    </w:tblPr>
    <w:tblStylePr w:type="band1Horz">
      <w:tcPr>
        <w:shd w:val="clear" w:color="FFFFFF" w:fill="BEDBA8" w:themeColor="accent6" w:themeTint="75"/>
      </w:tcPr>
    </w:tblStylePr>
    <w:tblStylePr w:type="band1Vert">
      <w:tcPr>
        <w:shd w:val="clear" w:color="FFFFFF" w:fill="BEDB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DEBF6" w:themeColor="accent1" w:themeTint="34"/>
      </w:tcPr>
    </w:tblStylePr>
    <w:tblStylePr w:type="band1Vert">
      <w:tcPr>
        <w:shd w:val="clear" w:color="FFFFFF" w:fill="DDEBF6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BE5D6" w:themeColor="accent2" w:themeTint="32"/>
      </w:tcPr>
    </w:tblStylePr>
    <w:tblStylePr w:type="band1Vert">
      <w:tcPr>
        <w:shd w:val="clear" w:color="FFFFFF" w:fill="FBE5D6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DEDED" w:themeColor="accent3" w:themeTint="34"/>
      </w:tcPr>
    </w:tblStylePr>
    <w:tblStylePr w:type="band1Vert">
      <w:tcPr>
        <w:shd w:val="clear" w:color="FFFFFF" w:fill="EDEDE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EF2CB" w:themeColor="accent4" w:themeTint="34"/>
      </w:tcPr>
    </w:tblStylePr>
    <w:tblStylePr w:type="band1Vert">
      <w:tcPr>
        <w:shd w:val="clear" w:color="FFFFFF" w:fill="FEF2CB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9E2F2" w:themeColor="accent5" w:themeTint="34"/>
      </w:tcPr>
    </w:tblStylePr>
    <w:tblStylePr w:type="band1Vert">
      <w:tcPr>
        <w:shd w:val="clear" w:color="FFFFFF" w:fill="D9E2F2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E2EFD8" w:themeColor="accent6" w:themeTint="34"/>
      </w:tcPr>
    </w:tblStylePr>
    <w:tblStylePr w:type="band1Vert">
      <w:tcPr>
        <w:shd w:val="clear" w:color="FFFFFF" w:fill="E2EF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DDEBF6" w:themeColor="accent1" w:themeTint="34"/>
      </w:tcPr>
    </w:tblStylePr>
    <w:tblStylePr w:type="band1Vert">
      <w:tcPr>
        <w:shd w:val="clear" w:color="FFFFFF" w:fill="DDEBF6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BE5D6" w:themeColor="accent2" w:themeTint="32"/>
      </w:tcPr>
    </w:tblStylePr>
    <w:tblStylePr w:type="band1Vert">
      <w:tcPr>
        <w:shd w:val="clear" w:color="FFFFFF" w:fill="FBE5D6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EDEDED" w:themeColor="accent3" w:themeTint="34"/>
      </w:tcPr>
    </w:tblStylePr>
    <w:tblStylePr w:type="band1Vert">
      <w:tcPr>
        <w:shd w:val="clear" w:color="FFFFFF" w:fill="EDEDED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EF2CB" w:themeColor="accent4" w:themeTint="34"/>
      </w:tcPr>
    </w:tblStylePr>
    <w:tblStylePr w:type="band1Vert">
      <w:tcPr>
        <w:shd w:val="clear" w:color="FFFFFF" w:fill="FEF2CB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D9E2F2" w:themeColor="accent5" w:themeTint="34"/>
      </w:tcPr>
    </w:tblStylePr>
    <w:tblStylePr w:type="band1Vert">
      <w:tcPr>
        <w:shd w:val="clear" w:color="FFFFFF" w:fill="D9E2F2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E2EFD8" w:themeColor="accent6" w:themeTint="34"/>
      </w:tcPr>
    </w:tblStylePr>
    <w:tblStylePr w:type="band1Vert">
      <w:tcPr>
        <w:shd w:val="clear" w:color="FFFFFF" w:fill="E2EFD8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EABDB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AD08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5B9BD5" w:themeColor="accent1"/>
    </w:tblPr>
    <w:tblStylePr w:type="band1Horz">
      <w:tcPr>
        <w:shd w:val="clear" w:color="FFFFFF" w:fill="5B9BD5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5B9BD5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5B9BD5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4B185" w:themeColor="accent2" w:themeTint="97"/>
    </w:tblPr>
    <w:tblStylePr w:type="band1Horz">
      <w:tcPr>
        <w:shd w:val="clear" w:color="FFFFFF" w:fill="F4B185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4B185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4B185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5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9C9C9" w:themeColor="accent3" w:themeTint="98"/>
    </w:tblPr>
    <w:tblStylePr w:type="band1Horz">
      <w:tcPr>
        <w:shd w:val="clear" w:color="FFFFFF" w:fill="C9C9C9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9C9C9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9C9C9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D864" w:themeColor="accent4" w:themeTint="9A"/>
    </w:tblPr>
    <w:tblStylePr w:type="band1Horz">
      <w:tcPr>
        <w:shd w:val="clear" w:color="FFFFFF" w:fill="FFD864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D864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D864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4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8EABDB" w:themeColor="accent5" w:themeTint="9A"/>
    </w:tblPr>
    <w:tblStylePr w:type="band1Horz">
      <w:tcPr>
        <w:shd w:val="clear" w:color="FFFFFF" w:fill="8EABDB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8EABDB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8EABDB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EABDB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AAD08F" w:themeColor="accent6" w:themeTint="98"/>
    </w:tblPr>
    <w:tblStylePr w:type="band1Horz">
      <w:tcPr>
        <w:shd w:val="clear" w:color="FFFFFF" w:fill="AAD08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AAD08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AAD08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AD08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6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</w:style>
  <w:style w:type="table" w:styleId="777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</w:style>
  <w:style w:type="table" w:styleId="778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</w:style>
  <w:style w:type="table" w:styleId="779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</w:style>
  <w:style w:type="table" w:styleId="780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</w:style>
  <w:style w:type="table" w:styleId="781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</w:style>
  <w:style w:type="table" w:styleId="782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3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</w:style>
  <w:style w:type="table" w:styleId="784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</w:style>
  <w:style w:type="table" w:styleId="785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</w:style>
  <w:style w:type="table" w:styleId="786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</w:style>
  <w:style w:type="table" w:styleId="787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</w:style>
  <w:style w:type="table" w:styleId="788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</w:style>
  <w:style w:type="table" w:styleId="789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6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6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815">
    <w:name w:val="Heading 1"/>
    <w:basedOn w:val="814"/>
    <w:next w:val="814"/>
    <w:link w:val="819"/>
    <w:rPr>
      <w:rFonts w:ascii="Times New Roman" w:hAnsi="Times New Roman" w:cs="Times New Roman" w:eastAsia="Times New Roman"/>
      <w:b/>
      <w:sz w:val="28"/>
      <w:szCs w:val="28"/>
      <w:lang w:bidi="en-US"/>
    </w:rPr>
    <w:pPr>
      <w:ind w:right="5244"/>
      <w:jc w:val="both"/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character" w:styleId="819" w:customStyle="1">
    <w:name w:val="Заголовок 1 Знак"/>
    <w:basedOn w:val="816"/>
    <w:link w:val="815"/>
    <w:rPr>
      <w:rFonts w:ascii="Times New Roman" w:hAnsi="Times New Roman" w:cs="Times New Roman" w:eastAsia="Times New Roman"/>
      <w:b/>
      <w:sz w:val="28"/>
      <w:szCs w:val="28"/>
      <w:lang w:val="uk-UA" w:bidi="en-US"/>
    </w:rPr>
  </w:style>
  <w:style w:type="paragraph" w:styleId="820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21" w:customStyle="1">
    <w:name w:val="Абзац списку1"/>
    <w:basedOn w:val="814"/>
    <w:rPr>
      <w:rFonts w:ascii="Times New Roman" w:hAnsi="Times New Roman" w:cs="Times New Roman" w:eastAsia="Times New Roman"/>
      <w:sz w:val="28"/>
      <w:lang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s://zakon.rada.gov.ua/laws/show/1768-14" TargetMode="External"/><Relationship Id="rId14" Type="http://schemas.openxmlformats.org/officeDocument/2006/relationships/hyperlink" Target="https://zakon.rada.gov.ua/laws/show/796-12" TargetMode="External"/><Relationship Id="rId15" Type="http://schemas.openxmlformats.org/officeDocument/2006/relationships/hyperlink" Target="https://zakon.rada.gov.ua/laws/show/3551-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10</cp:revision>
  <dcterms:created xsi:type="dcterms:W3CDTF">2022-11-10T07:10:00Z</dcterms:created>
  <dcterms:modified xsi:type="dcterms:W3CDTF">2022-12-09T16:39:24Z</dcterms:modified>
</cp:coreProperties>
</file>