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 w:val="false"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 w:val="false"/>
          <w:sz w:val="16"/>
          <w:szCs w:val="28"/>
          <w:lang w:bidi="hi-IN" w:eastAsia="hi-IN"/>
        </w:rPr>
      </w:r>
      <w:r>
        <w:rPr>
          <w:rFonts w:ascii="Times New Roman" w:hAnsi="Times New Roman" w:cs="Mangal"/>
          <w:b w:val="false"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06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грудня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402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КП «Менакомунпослуга»  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від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листопада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234</w:t>
      </w:r>
      <w:r>
        <w:rPr>
          <w:b/>
          <w:bCs/>
          <w:color w:val="FF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 </w:t>
      </w:r>
      <w:r>
        <w:rPr>
          <w:color w:val="000000"/>
          <w:sz w:val="28"/>
          <w:szCs w:val="28"/>
          <w:lang w:val="uk-UA"/>
        </w:rPr>
        <w:t xml:space="preserve">передачу майна  КП «Менакомунпослуга»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 господарське відання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Олег Леонідович</w:t>
      </w:r>
      <w:r>
        <w:rPr>
          <w:color w:val="000000"/>
          <w:sz w:val="28"/>
          <w:szCs w:val="28"/>
          <w:lang w:val="uk-UA"/>
        </w:rPr>
        <w:t xml:space="preserve"> – перший заступник міського голови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ГОЛЕНОК Тетяна Іванівена – головний бухгалтер КП «Менакомунпослуга»;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 – начальник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 директор КП «Менакомунпослуга».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95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52</cp:revision>
  <dcterms:created xsi:type="dcterms:W3CDTF">2020-12-24T15:10:00Z</dcterms:created>
  <dcterms:modified xsi:type="dcterms:W3CDTF">2022-12-07T12:34:19Z</dcterms:modified>
</cp:coreProperties>
</file>