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72"/>
        <w:spacing w:lineRule="auto" w:line="240" w:after="0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bookmarkStart w:id="0" w:name="n4"/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Додаток 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6372"/>
        <w:spacing w:lineRule="auto" w:line="240" w:after="0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до рішення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26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 сесії Менської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ради </w:t>
      </w: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8 скликання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6372"/>
        <w:spacing w:lineRule="auto" w:line="240" w:after="0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lang w:val="uk-UA" w:eastAsia="ru-RU"/>
        </w:rPr>
        <w:t xml:space="preserve">23 листопада 2022 року №413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6372"/>
        <w:spacing w:lineRule="auto" w:line="240" w:after="0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hd w:val="clear" w:fill="FFFF00" w:color="auto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right"/>
        <w:spacing w:lineRule="auto" w:line="240" w:after="16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4248" w:firstLine="708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5664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val="uk-UA" w:eastAsia="ru-RU"/>
        </w:rPr>
        <w:t xml:space="preserve">ПРОГРАМА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val="uk-UA" w:eastAsia="ru-RU"/>
        </w:rPr>
        <w:t xml:space="preserve">з інфекційного контролю та дотримання заходів із запобігання інфекціям, пов’язаних з наданням медичної допомоги в КНП «Менський центр ПМСД» 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val="uk-UA" w:eastAsia="ru-RU"/>
        </w:rPr>
        <w:t xml:space="preserve">на 2023 – 2025 роки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м. Мена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2022 рік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ПАСПОРТ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720" w:right="6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 з інфекційного контролю та дотримання заходів із запобігання інфекціям, пов’язаних з наданням медичної допомоги в КНП «Менський центр ПМСД»  на 2023- 2025 роки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right="6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(далі - Програма)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right="6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49"/>
        <w:gridCol w:w="3785"/>
        <w:gridCol w:w="5440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КНП «Менський центр ПМСД»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Дата, номер і назва документа органу місцевого самоврядування про розроблення 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Закон України від 24.02.1994 року № 4004 "Про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забезпечення санітарного та епідемічного благополуччя населення", Закон України від 05.06.2003 року № 913-ІУ «Про внесення зміни до Закону України "Про захист населення від інфекційних хвороб", Закон України «Про боротьбу із захворюванням на туберкульоз»,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Наказ Міністерства охорони здоров’я України від 03 серпня 2021 року №1614 «Про організацію профілактики інфекцій та інфекційного контролю в закладах охорони здоров’я та установах/закладах надання соціальних послуг /соціального захисту населення»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Розробник 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КНП «Менський центр ПМСД»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КНП «Менський центр ПМСД»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Менська міська рада,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КНП «Менський центр ПМСД»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2023 – 2025 роки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Основні джерела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Бюджет Менської міської територіальної громади, НСЗУ, інші джерела, не заборонені чинним законодавством.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реалізації Програми всього: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150 тис.грн.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 межах фінансових можливостей (бюджетних призначень)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5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Очікувані результати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Досягнення мети Програми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hd w:val="nil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br w:type="page"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</w:p>
    <w:p>
      <w:pPr>
        <w:pStyle w:val="868"/>
        <w:numPr>
          <w:ilvl w:val="0"/>
          <w:numId w:val="11"/>
        </w:num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Визначення проблеми, на розв’язання якої спрямована Програма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Внутрішньо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-лікарняні інфекції, пов’язані з наданням медичної допомоги, до цього часу залишаються однією з основних причин інвалідності та смертності населення в усьому світі. Високий рівень цієї захворюваності, на думку експертів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Всесвітньої організації охорони здоров’я (ВООЗ), пов’язаний з ростом стійкості збудників внутрішньо-лікарняних інфекцій до дії протимікробних препаратів (антибіотиків, антисептиків та дезінфектантів), відсутністю ефективної системи контролю за інфекціями. 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Ризик захво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рювання на внутрішньо - лікарняні інфекції поширюються як на пацієнтів, які звертаються за медичною допомогою, так і на працівників закладів охорони здоров’я, а також відвідувачів. Рівень захворюваност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на ці інфекції у розвинених країнах світу досягає до 44%. За даними ВООЗ 1 з 10 пацієнтів інфікується під час надання медичної допомоги; а за ефективної профілактики кількість інфекцій, що передаються під час надання медичної допомоги зменшується на 1/3.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Інфекційний контроль відіграє вирішальну роль для підвищення безпеки пацієнтів та профілактики інфекцій, пов’язаних з 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 медичної допомоги (далі ІПНМД). Медичний заклад має високий ризик поширення мікроорганізмів між відвідувачами та медичними працівниками, зокрема, при безпосередньому контакті з хворими пацієнтами та носіями збудників хвороб. Ризик ІПНМД підвищують медичн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процедури та маніпуляції. Програма інфекційного контролю дасть змогу зробити медичне обслуговування пацієнтів в КНП «Менський центр ПМСД» безпечним і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ступним, адже допоможе запобігти витратам на лікування ІПНМД, а головне - зберегти життя відвідувачів.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72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pStyle w:val="868"/>
        <w:numPr>
          <w:ilvl w:val="0"/>
          <w:numId w:val="11"/>
        </w:num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Мета Програми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Програму розроб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лено з метою зниження рівня інфекційних захворювань, пов’язаних з наданням медичної допомоги населен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ню громади за рахунок вдосконалення комплексу профілактичних та протиепідемічних заходів, а також впровадження ефективної системи епідеміологічного нагляду за внутрішньо- лікарняними інфекціями, покращення забезпеченості ЛПЗ сучасними засобами дезінфекції.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Прийняття запропонованої Програми має на меті забезпечення безпечності медичних посл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уг, що надаються населенню шляхом дотримання комплексу санітарно-епідеміологічних вимог у приміщеннях структурних підрозділів закладу: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забезпечення створення ефективної системи моніторингу поширення внутрішньо-лікарняних інфекцій;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щення рівня підготовки фахівців з питань здійснення інфекційного контролю;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зміцнення матеріально-технічної бази структурних підрозділів закладу;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використання одноразового інструментарію;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дотримання протиепідемічного режиму шляхом забезпечення сучасним медичним обладнанням, вироб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ами медичного призначення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засобами дезінфекції.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pStyle w:val="868"/>
        <w:numPr>
          <w:ilvl w:val="0"/>
          <w:numId w:val="11"/>
        </w:numPr>
        <w:jc w:val="center"/>
        <w:spacing w:lineRule="auto" w:line="240" w:after="0" w:before="17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Обґрунтування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шляхів та способів розв’язання проблеми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Головними шляхами розв’язання проблем Програми є безумовне дотримання законодавчих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нормативних документів з питань інфекційного контролю. З цією метою буде реалізований комплекс заходів, спрямованих на: 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розробку стандартів інфекційного контролю (ІК), видання відповідних наказів;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проведення комплексного планування та фінансування заходів інфекційного контролю;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організацію підготовки медичних працівників із засад інфекційного контролю;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забезпечення ремонту структурних підрозділів закладу з урахуванням вимог інфекційного контролю;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залучення громадянського суспільства, інформування населення щодо заходів безпеки (соціальна реклама);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моніторинг і оцінювання ефективності заходів інфекційного контролю в усіх структурних підрозділах закладу;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забезпечення своєчасної діагностики внутрішньолікарняних інфекцій у пацієнтів та призначення необхідного лікування;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своєчасна ізоляція хворих, які становлять епідемічну небезпеку;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навчання хворих етикету кашлю і заходам респіраторної гігієни;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навчання і контроль заходів з гігієни рук як серед медичного персоналу, так і серед відвідувачів закладу;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оцінювання технічного стану та матеріального забезпечення структурних підрозділів з питань ІК  із подальшим складанням відповідного кошторису;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дотримання заходів щодо охорони праці та особистої гігієни працівниками амбулаторій;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регулярне оцінювання ризиків поширення інфекції в структурних підрозділах Центру під час виконання процедур і маніпуляцій як для працівників, так і для відвідувачів;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розробку алгоритмів безпечного робочого процесу, впровадження та контроль їх виконання персоналом, пацієнтами та відвідувачами;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проведення регулярного навчання працівників </w:t>
      </w:r>
      <w:bookmarkStart w:id="1" w:name="_Hlk84259591"/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bookmarkEnd w:id="0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КНП «Менський центр ПМСД»</w:t>
      </w:r>
      <w:bookmarkEnd w:id="1"/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, санітарно-просвітницької роботи серед пацієнтів та населення;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дотримання критеріїв госпіталізації;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проведення оцінювання якості впровадження інфекційного контролю на робочом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у місці.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pStyle w:val="868"/>
        <w:numPr>
          <w:ilvl w:val="0"/>
          <w:numId w:val="11"/>
        </w:numPr>
        <w:jc w:val="center"/>
        <w:spacing w:lineRule="auto" w:line="240" w:after="0" w:before="17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Фінансове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виконання Програми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Програми здійснюється за рахунок: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коштів бю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джету громади;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коштів Національної служби здоров’я України;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залучення додаткових коштів для розвитку якісної первинної медичної допомоги відповідно до Закону України «Про державно-приватне партнерство»;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інших джерел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 фінансування, не заборонених законодавством України.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еобхідний обсяг фінансування Програми може бути уточнений у процесі формування бюджету на відповідний рік.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 фінансування програми може уточнюватись виходячи з конкретних завдань та реальних можливостей бюджету громади.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Оде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ржувачем коштів є КНП «Менський центр ПМСД».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contextualSpacing w:val="true"/>
        <w:ind w:left="720"/>
        <w:jc w:val="left"/>
        <w:spacing w:lineRule="auto" w:line="259" w:after="160"/>
        <w:rPr>
          <w:rFonts w:ascii="Times New Roman" w:hAnsi="Times New Roman" w:cs="Times New Roman" w:eastAsia="Calibri"/>
          <w:b w:val="false"/>
          <w:highlight w:val="none"/>
        </w:rPr>
      </w:pP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Напрямки діяльності та заходи</w:t>
      </w: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Програми з інфекційного </w:t>
      </w: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контролю в КНП « </w:t>
      </w: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Менський центр ПМСД » на 2023</w:t>
      </w: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-2025 роки</w:t>
      </w: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 (додаток додається)</w:t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 w:eastAsia="ru-RU"/>
        </w:rPr>
      </w:r>
      <w:r/>
    </w:p>
    <w:p>
      <w:pPr>
        <w:pStyle w:val="868"/>
        <w:numPr>
          <w:ilvl w:val="0"/>
          <w:numId w:val="11"/>
        </w:numPr>
        <w:jc w:val="center"/>
        <w:spacing w:lineRule="auto" w:line="240" w:after="0" w:before="17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Ресурсне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 Програми </w:t>
      </w: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W w:w="0" w:type="auto"/>
        <w:tblCellSpacing w:w="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402"/>
        <w:gridCol w:w="1276"/>
        <w:gridCol w:w="1276"/>
        <w:gridCol w:w="1417"/>
        <w:gridCol w:w="1473"/>
      </w:tblGrid>
      <w:tr>
        <w:trPr>
          <w:tblCellSpacing w:w="0" w:type="dxa"/>
          <w:trHeight w:val="1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 w:eastAsia="ru-RU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 w:eastAsia="ru-RU"/>
              </w:rPr>
              <w:t xml:space="preserve">Напрями фінансування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 w:eastAsia="ru-RU"/>
              </w:rPr>
              <w:t xml:space="preserve">Орієнтовна сума,. грн.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  <w:trHeight w:val="1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2023 р.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2024 р.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2025 р.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Обсяг ресурсів з бюджету громади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uk-UA" w:eastAsia="ru-RU"/>
              </w:rPr>
              <w:t xml:space="preserve">50000,00</w:t>
            </w:r>
            <w:r>
              <w:rPr>
                <w:rFonts w:ascii="Times New Roman" w:hAnsi="Times New Roman" w:cs="Times New Roman" w:eastAsia="Times New Roman"/>
                <w:sz w:val="24"/>
                <w:lang w:val="uk-U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uk-UA" w:eastAsia="ru-RU"/>
              </w:rPr>
              <w:t xml:space="preserve">50000,00</w:t>
            </w:r>
            <w:r>
              <w:rPr>
                <w:rFonts w:ascii="Times New Roman" w:hAnsi="Times New Roman" w:cs="Times New Roman" w:eastAsia="Times New Roman"/>
                <w:sz w:val="24"/>
                <w:lang w:val="uk-U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uk-UA" w:eastAsia="ru-RU"/>
              </w:rPr>
              <w:t xml:space="preserve">50000,00</w:t>
            </w:r>
            <w:r>
              <w:rPr>
                <w:rFonts w:ascii="Times New Roman" w:hAnsi="Times New Roman" w:cs="Times New Roman" w:eastAsia="Times New Roman"/>
                <w:sz w:val="24"/>
                <w:lang w:val="uk-U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  <w:lang w:val="uk-UA" w:eastAsia="ru-RU"/>
              </w:rPr>
              <w:t xml:space="preserve">150000,00</w:t>
            </w:r>
            <w:r>
              <w:rPr>
                <w:rFonts w:ascii="Times New Roman" w:hAnsi="Times New Roman" w:cs="Times New Roman" w:eastAsia="Times New Roman"/>
                <w:sz w:val="24"/>
                <w:lang w:val="uk-UA" w:eastAsia="ru-RU"/>
              </w:rPr>
            </w:r>
            <w:r/>
          </w:p>
        </w:tc>
      </w:tr>
      <w:tr>
        <w:trPr>
          <w:tblCellSpacing w:w="0" w:type="dxa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Кошти інших джерел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50000,00 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150000,00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  <w:r/>
          </w:p>
        </w:tc>
      </w:tr>
    </w:tbl>
    <w:p>
      <w:pPr>
        <w:pStyle w:val="868"/>
        <w:numPr>
          <w:ilvl w:val="0"/>
          <w:numId w:val="11"/>
        </w:numPr>
        <w:jc w:val="center"/>
        <w:spacing w:lineRule="auto" w:line="240" w:after="0" w:before="17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Очікувані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результати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 результаті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 планується: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досягти поліпшення епідеміологічної ситуації в громаді за рахунок зменшення загальної кількості захворювань, зокрема респіраторних інфекцій, захворювання на туберкульоз; 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зменшити рівень захворюваності на COVID-19 та смертності від нього;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зменшити темпи поширення мультирезистентного туберкульозу в громаді;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 w:eastAsia="ru-RU"/>
        </w:rPr>
      </w:r>
      <w:r/>
    </w:p>
    <w:p>
      <w:pPr>
        <w:numPr>
          <w:ilvl w:val="0"/>
          <w:numId w:val="4"/>
        </w:numPr>
        <w:ind w:left="0" w:right="0" w:firstLine="567"/>
        <w:jc w:val="both"/>
        <w:spacing w:lineRule="auto" w:line="240" w:after="0"/>
        <w:widowControl w:val="off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 w:eastAsia="ru-RU"/>
        </w:rPr>
        <w:t xml:space="preserve">окращити якість життя жителів громади за рахунок зниження захворюваності, смертно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сті від внутрішньо-лікарняних інфекцій.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numPr>
          <w:ilvl w:val="0"/>
          <w:numId w:val="11"/>
        </w:numPr>
        <w:jc w:val="center"/>
        <w:spacing w:lineRule="auto" w:line="240" w:after="0" w:before="17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Строки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виконання Програми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Програма розрахована на 2023-2025 роки.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pStyle w:val="868"/>
        <w:numPr>
          <w:ilvl w:val="0"/>
          <w:numId w:val="11"/>
        </w:numPr>
        <w:jc w:val="center"/>
        <w:spacing w:lineRule="auto" w:line="240" w:after="0" w:before="17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Координація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контроль за ходом виконання Програми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 програми здійснюється шляхом реалізації завдань основними та безпосередніми учасниками програми.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Контроль за реалізацією заходів, передбачених Програмою, здійснюють органи місцевого самоврядування. </w:t>
      </w:r>
      <w:r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 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обхідності коригування Програми, до неї можуть бути внесені зміни.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-426"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-426"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uk-UA"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uk-UA" w:eastAsia="ru-RU"/>
        </w:rPr>
      </w:r>
      <w:r/>
    </w:p>
    <w:p>
      <w:pPr>
        <w:ind w:left="-426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Начальник відділу соціального 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-426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населення, сім’ї, молоді </w:t>
      </w: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-426"/>
        <w:jc w:val="both"/>
        <w:spacing w:lineRule="auto" w:line="240" w:after="0"/>
        <w:tabs>
          <w:tab w:val="left" w:pos="6521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охорони 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Марина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ОСКАЛЬЧУК</w:t>
      </w:r>
      <w:r>
        <w:rPr>
          <w:rFonts w:ascii="Times New Roman" w:hAnsi="Times New Roman" w:cs="Times New Roman" w:eastAsia="Times New Roman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38294"/>
      <w:docPartObj>
        <w:docPartGallery w:val="Page Numbers (Top of Page)"/>
        <w:docPartUnique w:val="true"/>
      </w:docPartObj>
      <w:rPr/>
    </w:sdtPr>
    <w:sdtContent>
      <w:p>
        <w:pPr>
          <w:pStyle w:val="864"/>
          <w:jc w:val="right"/>
          <w:rPr>
            <w:rFonts w:ascii="Times New Roman" w:hAnsi="Times New Roman" w:cs="Times New Roman" w:eastAsia="Times New Roman"/>
            <w:sz w:val="24"/>
          </w:rPr>
        </w:pPr>
        <w:fldSimple w:instr="PAGE \* MERGEFORMAT">
          <w:r>
            <w:t xml:space="preserve">1</w:t>
          </w:r>
        </w:fldSimple>
        <w:r/>
        <w:r>
          <w:t xml:space="preserve">                                                  </w:t>
        </w:r>
        <w:r>
          <w:rPr>
            <w:rFonts w:ascii="Times New Roman" w:hAnsi="Times New Roman" w:cs="Times New Roman" w:eastAsia="Times New Roman"/>
            <w:sz w:val="24"/>
          </w:rPr>
          <w:t xml:space="preserve">продовження додатка</w:t>
        </w:r>
        <w:r>
          <w:rPr>
            <w:rFonts w:ascii="Times New Roman" w:hAnsi="Times New Roman" w:cs="Times New Roman" w:eastAsia="Times New Roman"/>
            <w:sz w:val="24"/>
          </w:rPr>
        </w:r>
        <w:r/>
      </w:p>
    </w:sdtContent>
  </w:sdt>
  <w:p>
    <w:pPr>
      <w:pStyle w:val="8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3"/>
  </w:num>
  <w:num w:numId="5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6">
    <w:abstractNumId w:val="6"/>
  </w:num>
  <w:num w:numId="7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2"/>
  </w:num>
  <w:num w:numId="9">
    <w:abstractNumId w:val="8"/>
  </w:num>
  <w:num w:numId="10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9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58"/>
    <w:next w:val="85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59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58"/>
    <w:next w:val="85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59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58"/>
    <w:next w:val="85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59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58"/>
    <w:next w:val="85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59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58"/>
    <w:next w:val="85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59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58"/>
    <w:next w:val="858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59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58"/>
    <w:next w:val="85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59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58"/>
    <w:next w:val="858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5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58"/>
    <w:next w:val="85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59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58"/>
    <w:next w:val="858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59"/>
    <w:link w:val="702"/>
    <w:uiPriority w:val="10"/>
    <w:rPr>
      <w:sz w:val="48"/>
      <w:szCs w:val="48"/>
    </w:rPr>
  </w:style>
  <w:style w:type="paragraph" w:styleId="704">
    <w:name w:val="Subtitle"/>
    <w:basedOn w:val="858"/>
    <w:next w:val="858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59"/>
    <w:link w:val="704"/>
    <w:uiPriority w:val="11"/>
    <w:rPr>
      <w:sz w:val="24"/>
      <w:szCs w:val="24"/>
    </w:rPr>
  </w:style>
  <w:style w:type="paragraph" w:styleId="706">
    <w:name w:val="Quote"/>
    <w:basedOn w:val="858"/>
    <w:next w:val="858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8"/>
    <w:next w:val="858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9"/>
    <w:link w:val="864"/>
    <w:uiPriority w:val="99"/>
  </w:style>
  <w:style w:type="character" w:styleId="711">
    <w:name w:val="Footer Char"/>
    <w:basedOn w:val="859"/>
    <w:link w:val="866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866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 w:customStyle="1">
    <w:name w:val="docdata"/>
    <w:basedOn w:val="85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3">
    <w:name w:val="Normal (Web)"/>
    <w:basedOn w:val="85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4">
    <w:name w:val="Header"/>
    <w:basedOn w:val="858"/>
    <w:link w:val="8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859"/>
    <w:link w:val="864"/>
    <w:uiPriority w:val="99"/>
  </w:style>
  <w:style w:type="paragraph" w:styleId="866">
    <w:name w:val="Footer"/>
    <w:basedOn w:val="858"/>
    <w:link w:val="8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859"/>
    <w:link w:val="866"/>
    <w:uiPriority w:val="99"/>
    <w:semiHidden/>
  </w:style>
  <w:style w:type="paragraph" w:styleId="868">
    <w:name w:val="List Paragraph"/>
    <w:basedOn w:val="85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ПРИМАКОВ Геннадій Анатолійович</cp:lastModifiedBy>
  <cp:revision>7</cp:revision>
  <dcterms:created xsi:type="dcterms:W3CDTF">2022-11-15T06:51:00Z</dcterms:created>
  <dcterms:modified xsi:type="dcterms:W3CDTF">2022-11-29T09:21:10Z</dcterms:modified>
</cp:coreProperties>
</file>