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10205" w:right="0" w:firstLine="0"/>
        <w:jc w:val="both"/>
        <w:spacing w:lineRule="auto" w:line="259" w:after="160"/>
        <w:rPr>
          <w:rFonts w:ascii="Times New Roman" w:hAnsi="Times New Roman" w:cs="Times New Roman" w:eastAsia="Times New Roman"/>
          <w:b w:val="false"/>
          <w:sz w:val="22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2"/>
          <w:szCs w:val="28"/>
          <w:highlight w:val="none"/>
        </w:rPr>
        <w:t xml:space="preserve">Додаток до </w:t>
      </w:r>
      <w:r>
        <w:rPr>
          <w:rFonts w:ascii="Times New Roman" w:hAnsi="Times New Roman" w:cs="Times New Roman" w:eastAsia="Times New Roman"/>
          <w:b w:val="false"/>
          <w:sz w:val="22"/>
          <w:szCs w:val="28"/>
          <w:lang w:bidi="ar-SA" w:eastAsia="zh-CN"/>
        </w:rPr>
        <w:t xml:space="preserve">Програми </w:t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з </w:t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інфекційного </w:t>
      </w:r>
      <w:r>
        <w:rPr>
          <w:b w:val="false"/>
        </w:rPr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контролю та дотримання </w:t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заходів із </w:t>
      </w:r>
      <w:r>
        <w:rPr>
          <w:b w:val="false"/>
        </w:rPr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 запобігання інфекціям, </w:t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пов’язаним </w:t>
      </w:r>
      <w:r>
        <w:rPr>
          <w:b w:val="false"/>
        </w:rPr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 з наданням медичної </w:t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допомоги в КНП </w:t>
      </w:r>
      <w:r>
        <w:rPr>
          <w:b w:val="false"/>
        </w:rPr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 «Менський центр </w:t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ПМСД» </w:t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на</w:t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 2023- 2025</w:t>
      </w:r>
      <w:r>
        <w:rPr>
          <w:rFonts w:ascii="Times New Roman" w:hAnsi="Times New Roman" w:cs="Times New Roman" w:eastAsia="Times New Roman"/>
          <w:b w:val="false"/>
          <w:bCs/>
          <w:sz w:val="22"/>
          <w:szCs w:val="28"/>
          <w:lang w:bidi="ar-SA" w:eastAsia="zh-CN"/>
        </w:rPr>
        <w:t xml:space="preserve"> роки</w:t>
      </w:r>
      <w:r>
        <w:rPr>
          <w:rFonts w:ascii="Times New Roman" w:hAnsi="Times New Roman" w:cs="Times New Roman" w:eastAsia="Calibri"/>
          <w:b w:val="false"/>
          <w:sz w:val="28"/>
          <w:szCs w:val="28"/>
          <w:highlight w:val="none"/>
        </w:rPr>
      </w:r>
      <w:r>
        <w:rPr>
          <w:b w:val="false"/>
        </w:rPr>
      </w:r>
    </w:p>
    <w:p>
      <w:pPr>
        <w:contextualSpacing w:val="true"/>
        <w:ind w:left="1701" w:right="1957" w:firstLine="0"/>
        <w:jc w:val="center"/>
        <w:spacing w:lineRule="auto" w:line="259" w:after="160"/>
        <w:rPr>
          <w:rFonts w:ascii="Times New Roman" w:hAnsi="Times New Roman" w:cs="Times New Roman" w:eastAsia="Calibri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Напрямки діяльності та заходи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Програми з інфекційного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контролю в КНП «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Менський центр ПМСД» на 2023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-2025 роки</w:t>
      </w:r>
      <w:r/>
    </w:p>
    <w:tbl>
      <w:tblPr>
        <w:tblW w:w="1538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4"/>
        <w:gridCol w:w="2693"/>
        <w:gridCol w:w="1418"/>
        <w:gridCol w:w="1134"/>
        <w:gridCol w:w="1276"/>
        <w:gridCol w:w="1275"/>
        <w:gridCol w:w="3828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№ 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0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Опис заходів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Шляхи реалізації заходів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Термін реалізації заходів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Орієнтовні обсяги фінансування</w:t>
            </w: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8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Джерела фінансування</w:t>
            </w:r>
            <w:r>
              <w:rPr>
                <w:rFonts w:ascii="Times New Roman" w:hAnsi="Times New Roman" w:cs="Times New Roman" w:eastAsia="Times New Roman"/>
                <w:b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2023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  <w:t xml:space="preserve">2025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Виготовлення макетів практики  гігієни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 рук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Розробити макети, замовити їх друк, придбати макети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2023 рік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500,00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</w:t>
            </w:r>
            <w:r>
              <w:rPr>
                <w:rFonts w:ascii="Times New Roman" w:hAnsi="Times New Roman" w:cs="Times New Roman" w:eastAsia="Calibri"/>
              </w:rPr>
              <w:t xml:space="preserve">громади</w:t>
            </w:r>
            <w:r>
              <w:rPr>
                <w:rFonts w:ascii="Times New Roman" w:hAnsi="Times New Roman" w:cs="Times New Roman" w:eastAsia="Calibri"/>
              </w:rPr>
              <w:t xml:space="preserve">  та інших незаборонених законом джерел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Облаштування станцій для миття рук  в місцях надання медичної допомоги (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диспенсери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 для рідкого 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ила та антисептиків, рушничків)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Придбати та встановити станції для миття рук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2023 рік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Придбання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 екранованих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опромінювачів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 (бактерицидних ламп закритого типу)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Придбати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 екрановані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опромінювачі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 для лікарських амбулаторій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2023 – 2024 роки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3000,00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Придбання респіраторів типу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zh-CN"/>
              </w:rPr>
              <w:t xml:space="preserve"> FFP3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 для надання допомоги пацієнтам з туберкульозом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Придбати респіратори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Щороку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Придбання паливно- мастильних матеріалів для забезпеч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ення виконання заходів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Закуповувати паливно-мастильні матеріали відповідно до потреби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Щороку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5000,00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Навчання тренера, інструкторів з гігієни миття рук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Провести підготовку тренера з послідуючим навчанням інструкторів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2023 рік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Навчання працівників закладу техніці гігієни рук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Проводити навчання персоналу техніці гігієни рук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Щороку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250,00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250,00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250,00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zh-CN"/>
              </w:rPr>
              <w:t xml:space="preserve">Навчання пацієнтів техніці гігієни рук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Проводити навчання пацієнтів техніці гігієни рук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Протягом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250,00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250,00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250,00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Створення в Менській амбулаторії зони  ДОТ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Створ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ити зону для забору мокротиння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2023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>
          <w:trHeight w:val="854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Забезпечення пацієнтів контейнерами для збору мокротиння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Придбати контейнери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поточного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59" w:after="160"/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  <w:t xml:space="preserve">3000,00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Забезпечення амбулаторій тест – смужками (ВГВ, ВГС, ВІЛ/ВГС)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Придбати тест –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смужки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(ВГВ, ВГС, ВІЛ/СНІД)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Протягом поточного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59" w:after="16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59" w:after="160"/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  <w:t xml:space="preserve">2000,00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Забезпечення медичних працівників ЗІЗ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 медичні маски, нітрилові рукавички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тощо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Закупити ЗІЗ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Протягом поточного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59" w:after="16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59" w:after="160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Забезпечення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структурних підрозділів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дезінфікуючими засобами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Закупити дезінфікуючи засоби для обробки приміщень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Протягом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59" w:after="160"/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Забезпечення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структурних підрозділів антисептиками для обробки рук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Закупити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антисептики для обробки рук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Протягом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59" w:after="160"/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Забезпечення пробірками для ПЛР дослідження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Придбати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пробіроки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з аплікатором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Протягом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5000,00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59" w:after="160"/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  <w:t xml:space="preserve">5000,00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Забезпечення швидкими тестами на грип А і 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Придбати швидкі тести на грип А і В 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Протягом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59" w:after="160"/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  <w:t xml:space="preserve">2000,00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Кошти Менської громади  та інших незаборонених законом джерел</w:t>
            </w:r>
            <w:r/>
          </w:p>
        </w:tc>
      </w:tr>
      <w:tr>
        <w:trPr>
          <w:trHeight w:val="826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Забезпечення вакцинації проти грипу медичних працівників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Отримати вакцину та провести вакцинацію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Протягом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00,00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spacing w:lineRule="auto" w:line="259" w:after="160"/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  <w:t xml:space="preserve">45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val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Calibri"/>
              </w:rPr>
              <w:t xml:space="preserve">Державні кошти</w:t>
            </w:r>
            <w:r/>
          </w:p>
        </w:tc>
      </w:tr>
      <w:tr>
        <w:trPr>
          <w:cantSplit/>
          <w:trHeight w:val="780"/>
        </w:trPr>
        <w:tc>
          <w:tcPr>
            <w:tcW w:w="675" w:type="dxa"/>
            <w:textDirection w:val="btLr"/>
            <w:noWrap w:val="false"/>
          </w:tcPr>
          <w:p>
            <w:pPr>
              <w:ind w:left="113" w:right="113"/>
              <w:jc w:val="both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Всього коштів 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50000,00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50000,00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50000,00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Кошти Менської громади  та інших незаборонених законом джерел</w:t>
            </w:r>
            <w:r/>
          </w:p>
        </w:tc>
      </w:tr>
    </w:tbl>
    <w:p>
      <w:r/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Генеральний директор                                                                      Наталія РОСОМАХА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6838" w:h="11906" w:orient="landscape"/>
      <w:pgMar w:top="568" w:right="850" w:bottom="850" w:left="85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fldSimple w:instr="PAGE \* MERGEFORMAT">
      <w:r>
        <w:t xml:space="preserve">1</w:t>
      </w:r>
    </w:fldSimple>
    <w:r/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8"/>
    <w:next w:val="858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basedOn w:val="859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8"/>
    <w:next w:val="858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basedOn w:val="859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8"/>
    <w:next w:val="858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basedOn w:val="859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8"/>
    <w:next w:val="858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basedOn w:val="859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8"/>
    <w:next w:val="858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basedOn w:val="859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8"/>
    <w:next w:val="858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basedOn w:val="8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8"/>
    <w:next w:val="858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basedOn w:val="859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8"/>
    <w:next w:val="85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basedOn w:val="859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8"/>
    <w:next w:val="858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basedOn w:val="859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858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 w:before="0"/>
    </w:pPr>
  </w:style>
  <w:style w:type="paragraph" w:styleId="700">
    <w:name w:val="Title"/>
    <w:basedOn w:val="858"/>
    <w:next w:val="858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basedOn w:val="859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basedOn w:val="859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9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9"/>
    <w:link w:val="710"/>
    <w:uiPriority w:val="99"/>
  </w:style>
  <w:style w:type="paragraph" w:styleId="712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9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9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pPr>
      <w:spacing w:lineRule="auto" w:line="240" w:after="0"/>
    </w:p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ПРИМАКОВ Геннадій Анатолійович</cp:lastModifiedBy>
  <cp:revision>7</cp:revision>
  <dcterms:created xsi:type="dcterms:W3CDTF">2022-11-08T12:55:00Z</dcterms:created>
  <dcterms:modified xsi:type="dcterms:W3CDTF">2022-11-29T09:23:44Z</dcterms:modified>
</cp:coreProperties>
</file>