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 </w:t>
      </w:r>
      <w:r/>
    </w:p>
    <w:p>
      <w:pPr>
        <w:ind w:left="56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26 сесії Менської міської ради 8 скликання </w:t>
      </w:r>
      <w:r/>
    </w:p>
    <w:p>
      <w:pPr>
        <w:ind w:left="566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листопада 2022 року № 406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територіальної громади на 2022 - 2024 роки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Паспорт Програми територіальної оборони на території населених пунктів Менської міської територіальної громади на 2022 - 2024 роки  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1384"/>
        <w:gridCol w:w="8363"/>
      </w:tblGrid>
      <w:tr>
        <w:trPr>
          <w:trHeight w:val="1132"/>
        </w:trPr>
        <w:tc>
          <w:tcPr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Заходи Програми територіальної оборони на території населених пунктів Менської міської територіальної громади на 2022 - 2024 роки.</w:t>
            </w:r>
            <w:r/>
          </w:p>
        </w:tc>
      </w:tr>
      <w:tr>
        <w:trPr/>
        <w:tc>
          <w:tcPr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Ресурсне забезпечення Програми територіальної оборони на території населених пунктів Менської міської територіальної громади на 2022 - 2024 роки.</w:t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територіальної громади на 2022 - 2024 роки</w:t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23.09.2016 № 406/2016 Указ Президента України «Про Положення про територіальну оборону України»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</w:t>
            </w:r>
            <w:bookmarkStart w:id="0" w:name="_Hlk100572204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 «Про правовий режим воєнного стану», Закон України 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/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 А7333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 А7333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2022 -2024 роки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5361,0 тис.грн.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/>
                <w:sz w:val="28"/>
                <w:szCs w:val="16"/>
                <w:lang w:val="ru-RU"/>
              </w:rPr>
              <w:t xml:space="preserve">5361,0 тис.грн.</w:t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360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Загальна характеристика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територіальної оборони на території населених пунктів Менської міської територіальної громади на 2022 - 2024 роки (далі - Програма) розроблена відповідно до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Законів України «Про оборону України»,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«Про Положення про територіальну оборону України»23.09.2016 № 406/2016,  Закон України  «Про правовий режим воєнного стану», Закон України 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 основи національного спротиву».</w:t>
      </w:r>
      <w:r/>
    </w:p>
    <w:p>
      <w:pPr>
        <w:pStyle w:val="926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територіальної оборони на території населених пунктів Менської міської  територіальної громади.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 Визначення проблеми, на розв’язання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26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дією правового режиму воєнного стану,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</w:t>
      </w:r>
      <w:r>
        <w:rPr>
          <w:rFonts w:ascii="Times New Roman" w:hAnsi="Times New Roman"/>
          <w:sz w:val="28"/>
          <w:szCs w:val="28"/>
        </w:rPr>
        <w:t xml:space="preserve">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</w:t>
      </w:r>
      <w:r>
        <w:rPr>
          <w:rFonts w:ascii="Times New Roman" w:hAnsi="Times New Roman"/>
          <w:sz w:val="28"/>
          <w:szCs w:val="28"/>
        </w:rPr>
        <w:t xml:space="preserve">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  <w:r/>
    </w:p>
    <w:p>
      <w:pPr>
        <w:pStyle w:val="926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урахуванням зазначеного вище необхідно завчасно створити сприятливі умови для вжиття відповідних додаткових заходів щодо удосконалення: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формування та розгортання в особливий період (підрозділів) військових частин територіальної оборони;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організації та підтримання у постійній готовності системи управління територіальною обороною в області;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взаємодії органів місцевого самоврядування, правоохоронних органів і органів військового управління при підготовці до виконання та при виконанні завдань територіальної оборони;</w:t>
      </w:r>
      <w:r/>
    </w:p>
    <w:p>
      <w:pPr>
        <w:pStyle w:val="926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Також виникає гостра необхідність щодо удосконалення 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з: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надійного функціонування в умовах особливого періоду органів державної влади, місцевого самоврядування та органів військового управління;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розгортання військ (сил) Збройних Сил України та інших військових формувань;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охорони та оборони важливих об’єктів і комунікацій життєдіяльності в умовах особливого періоду;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заходів правового режиму воєнного стану;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тактичної, тактико-спеціальної, інженерної, вогневої, медичної та психологічної підготовки особового складу підрозділів територіальної оборони;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заходів для підвищення бойової готовності.</w:t>
      </w:r>
      <w:r/>
    </w:p>
    <w:p>
      <w:pPr>
        <w:pStyle w:val="926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 Мета Програ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886"/>
        <w:ind w:firstLine="567"/>
        <w:jc w:val="both"/>
        <w:spacing w:after="0" w:before="0"/>
        <w:rPr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підготовки особового складу підрозділів територіальної оборони до охорони важливих об’єктів і комунікацій, органів державної влади, органів місцевого самоврядування, боротьби з диверсійними груп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ами та іншими збройними формуваннями, забезпечення заходів правового режиму воєнного стану; матеріально-технічного забезпечення потреб особового складу підрозділів територіальної оборони при відмобілізуванні та проведенні занять, тренувань, зборів, а саме: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 бази для проведення навчальних зборів з підрозділами територіальної оборони громади;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індивідуальними засобами захисту, засобами харчування, речовим майном особового складу та спорядженням, в тому числі засобами зв’язку, індивідуальними комплектами медичної допомоги;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 бази мобілізаційного розгортання підрозділів військових частин територіальної оборони;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 навчально-матеріальної бази для організації та проведення занять з військовозобов’язаними, призначеними до складу підрозділів територіальної оборони, а саме: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обладнання місць проведення бойового злагодження (занять) з підрозділами територіальної оборони, в тому числі, необхідним приладдям (інвентарем) для організації занять з тактичної, інженерної та вогневої підготовок;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придбання макетів стрілецької зброї, мін та ручних гранат, виготовлення мішеней для виконання вправ стрільб зі стрілецької зброї та метання ручних гранат.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заходів для підтримання безпеки на території населених пунктів громади шляхом патрулювання в т.ч. під час комендантської години;</w:t>
      </w:r>
      <w:r/>
    </w:p>
    <w:p>
      <w:pPr>
        <w:pStyle w:val="926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заходів для підвищення бойової готовності.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5.Обґрунтування шляхів і засобів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розв’язання проблеми, обсягів та джерел фінансування, 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матеріально-технічного забезпечення підрозділів територіальної оборони, обладнання місць формування (міс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це проведення зборів з підрозділами територіальної оборони, створення бази мобілізаційного розгортання та навчально-матеріальної бази для організації та проведення занять з військовозобов’язаними, призначеними до складу підрозділів територіальної оборони),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 Програми дасть можливість виконати вимоги щодо здійснення матеріально-технічного забезпечення та підвищення готовності  до виконання завдань підрозділів військових частин територіальної оборони.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Фінансування Програми здійснюється в межах видатків, затверджених на відповідний рік за відповідним напрямком, виходячи з фінансових можливостей.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реалізації даної Програми використовуються матеріальні цінності, придбані за рахунок коштів Програми «Безпечне місто» на 2016-2019 р.р. та які залишилися невикористаними після закінчення терміну дії Програми.</w:t>
      </w:r>
      <w:r/>
    </w:p>
    <w:p>
      <w:pPr>
        <w:pStyle w:val="886"/>
        <w:ind w:firstLine="567"/>
        <w:jc w:val="both"/>
        <w:spacing w:after="0" w:before="0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2022 - 2024 років. </w:t>
      </w:r>
      <w:r/>
    </w:p>
    <w:p>
      <w:pPr>
        <w:ind w:firstLine="567"/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6.Завдання та результативні показники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заходів щодо підготовки до створення підрозділів територіальної оборони та їх матеріально-технічного забезпечення. 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Реалізація заходів програми дасть змогу забезпечити особовий склад підрозділів територіальної оборони необхідними засобами майна та спорядження відповідно до існуючих норм згідно з потребами, організацію їх розміщення, харчування та підготовки.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7.Координація та контроль за ходом виконання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Менську міську раду та Менський районний територіальний центр комплектування та соціальної підтримки.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та в/ч А7333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органів ради                                                                                       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283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Програми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 територіальної громади на 2022 - 2024 роки</w:t>
      </w:r>
      <w:r/>
    </w:p>
    <w:p>
      <w:pPr>
        <w:ind w:left="10065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4"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Заходи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територіальної оборони на території населених пунктів Менської міської територіальної громади на 2022 - 2024 роки</w:t>
      </w:r>
      <w:r/>
    </w:p>
    <w:tbl>
      <w:tblPr>
        <w:tblW w:w="14633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0"/>
        <w:gridCol w:w="953"/>
        <w:gridCol w:w="2837"/>
        <w:gridCol w:w="2234"/>
        <w:gridCol w:w="993"/>
        <w:gridCol w:w="992"/>
        <w:gridCol w:w="995"/>
        <w:gridCol w:w="1162"/>
      </w:tblGrid>
      <w:tr>
        <w:trPr>
          <w:trHeight w:val="469"/>
        </w:trPr>
        <w:tc>
          <w:tcPr>
            <w:tcW w:w="56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tcW w:w="3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W w:w="95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tcW w:w="283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tcW w:w="223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tcW w:w="29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tcW w:w="116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232"/>
        </w:trPr>
        <w:tc>
          <w:tcPr>
            <w:tcW w:w="56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3900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953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283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2234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2"/>
                <w:szCs w:val="28"/>
                <w:lang w:val="uk-UA"/>
              </w:rPr>
              <w:t xml:space="preserve">2023р.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2"/>
                <w:szCs w:val="28"/>
                <w:lang w:val="uk-UA"/>
              </w:rPr>
              <w:t xml:space="preserve">2024р.</w:t>
            </w:r>
            <w:r/>
          </w:p>
        </w:tc>
        <w:tc>
          <w:tcPr>
            <w:tcW w:w="116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trHeight w:val="1288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Забезпечення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еревезення особового складу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підрозділів територіальної оборони, військовозобов'язаних при проведенні з ними навчальних зборів, занять та навчань до місць виконання практичних дій, полігонів, дислокації, в тому числі придбання палива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35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40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Обладнання місць проведення бойового злагодження, занять з підрозділами територіальної оборони та придбання матеріальної бази для організації занять з тактичної, інженерної, вогневої підготовок, тактичної медицини.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55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63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70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Перевезення військового майна для підрозділів територіальної оборони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pStyle w:val="9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2022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 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1288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pStyle w:val="9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Продовольче забезпечення особового складу підрозділів територіальної оборони при проведенні навчальних зборів (занять) та навчань у пунктах постійної дислокації та у польових умовах. Придбання з цією метою супутніх товарів господарського призначення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.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 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50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33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77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Обладнання заглибленого пункту управління штабу району територіальної оборони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77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 для підтримання безпеки на території населених пунктів громади шляхом здійснення патрулювання в т.ч. під час комендантської години. (Придбання паливно-мастильних матеріалів).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ru-RU"/>
              </w:rPr>
              <w:t xml:space="preserve">200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300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400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77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 для підвищення бойової готовності.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(Закупівля запасних та витратних частин для ремонту техніки, закупівля господарчих товарів, генераторів, канцелярських виробів, засобів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аохочення (бланки грамот, подяк; медалі; кубки; заохочувальні призи), інструментів, технічного обладнання (камери відеоспостереження, тепловізори, комп’ютерна техніка), будматеріалів для обладнання позицій, службових приміщень та повсякденної діяльності).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2022 - 2024 роки</w:t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-108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 міська рада, в/чА7333</w:t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  <w:t xml:space="preserve">380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1200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2400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31"/>
        </w:trPr>
        <w:tc>
          <w:tcPr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730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1653</w:t>
            </w:r>
            <w:r/>
          </w:p>
        </w:tc>
        <w:tc>
          <w:tcPr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2978</w:t>
            </w:r>
            <w:r/>
          </w:p>
        </w:tc>
        <w:tc>
          <w:tcPr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органів ради                                                                                       Сергій ГАЄВОЙ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  2</w:t>
      </w:r>
      <w:r/>
    </w:p>
    <w:p>
      <w:pPr>
        <w:ind w:left="10065"/>
        <w:jc w:val="both"/>
        <w:rPr>
          <w:rFonts w:ascii="Times New Roman" w:hAnsi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територіальної оборони на території населених пунктів Менської міської територіальної громади на 2022 - 2024 роки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Програми територіальної оборони на території населених пунктів Менської міської територіальної громади на 2022 - 2024 роки</w:t>
      </w:r>
      <w:r/>
    </w:p>
    <w:p>
      <w:pPr>
        <w:ind w:right="11"/>
        <w:jc w:val="center"/>
        <w:shd w:val="clear" w:fill="FFFFFF" w:color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5361,0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5361,0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67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9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rPr>
        <w:rStyle w:val="930"/>
      </w:rPr>
      <w:framePr w:wrap="around" w:vAnchor="text" w:hAnchor="margin" w:xAlign="center" w:y="1"/>
    </w:pPr>
    <w:r>
      <w:rPr>
        <w:rStyle w:val="930"/>
      </w:rPr>
      <w:fldChar w:fldCharType="begin"/>
    </w:r>
    <w:r>
      <w:rPr>
        <w:rStyle w:val="930"/>
      </w:rPr>
      <w:instrText xml:space="preserve">PAGE  </w:instrText>
    </w:r>
    <w:r>
      <w:rPr>
        <w:rStyle w:val="930"/>
      </w:rPr>
      <w:fldChar w:fldCharType="separate"/>
    </w:r>
    <w:r>
      <w:rPr>
        <w:rStyle w:val="930"/>
      </w:rPr>
      <w:t xml:space="preserve">6</w:t>
    </w:r>
    <w:r>
      <w:rPr>
        <w:rStyle w:val="930"/>
      </w:rPr>
      <w:fldChar w:fldCharType="end"/>
    </w:r>
    <w:r/>
  </w:p>
  <w:p>
    <w:pPr>
      <w:pStyle w:val="92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  <w:jc w:val="center"/>
    </w:pPr>
    <w:r/>
    <w:r/>
  </w:p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Caption Char"/>
    <w:basedOn w:val="737"/>
    <w:link w:val="735"/>
    <w:uiPriority w:val="99"/>
  </w:style>
  <w:style w:type="paragraph" w:styleId="711" w:default="1">
    <w:name w:val="Normal"/>
    <w:qFormat/>
    <w:rPr>
      <w:sz w:val="24"/>
      <w:szCs w:val="24"/>
      <w:lang w:val="en-US" w:eastAsia="en-US"/>
    </w:rPr>
  </w:style>
  <w:style w:type="paragraph" w:styleId="712">
    <w:name w:val="Heading 1"/>
    <w:basedOn w:val="711"/>
    <w:next w:val="711"/>
    <w:link w:val="923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13">
    <w:name w:val="Heading 2"/>
    <w:basedOn w:val="711"/>
    <w:next w:val="711"/>
    <w:link w:val="72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4">
    <w:name w:val="Heading 3"/>
    <w:basedOn w:val="711"/>
    <w:next w:val="711"/>
    <w:link w:val="72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next w:val="711"/>
    <w:link w:val="72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next w:val="711"/>
    <w:link w:val="72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next w:val="711"/>
    <w:link w:val="729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next w:val="711"/>
    <w:link w:val="730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next w:val="711"/>
    <w:link w:val="731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next w:val="711"/>
    <w:link w:val="73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99"/>
    <w:semiHidden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link w:val="712"/>
    <w:uiPriority w:val="99"/>
    <w:rPr>
      <w:rFonts w:ascii="Arial" w:hAnsi="Arial" w:cs="Arial"/>
      <w:sz w:val="40"/>
      <w:szCs w:val="40"/>
    </w:rPr>
  </w:style>
  <w:style w:type="character" w:styleId="725" w:customStyle="1">
    <w:name w:val="Heading 2 Char"/>
    <w:basedOn w:val="721"/>
    <w:link w:val="887"/>
    <w:uiPriority w:val="99"/>
    <w:rPr>
      <w:rFonts w:ascii="Arial" w:hAnsi="Arial" w:cs="Arial"/>
      <w:sz w:val="34"/>
    </w:rPr>
  </w:style>
  <w:style w:type="character" w:styleId="726" w:customStyle="1">
    <w:name w:val="Heading 3 Char"/>
    <w:basedOn w:val="721"/>
    <w:link w:val="888"/>
    <w:uiPriority w:val="99"/>
    <w:rPr>
      <w:rFonts w:ascii="Arial" w:hAnsi="Arial" w:cs="Arial"/>
      <w:sz w:val="30"/>
      <w:szCs w:val="30"/>
    </w:rPr>
  </w:style>
  <w:style w:type="character" w:styleId="727" w:customStyle="1">
    <w:name w:val="Heading 4 Char"/>
    <w:basedOn w:val="721"/>
    <w:link w:val="889"/>
    <w:uiPriority w:val="99"/>
    <w:rPr>
      <w:rFonts w:ascii="Arial" w:hAnsi="Arial" w:cs="Arial"/>
      <w:b/>
      <w:bCs/>
      <w:sz w:val="26"/>
      <w:szCs w:val="26"/>
    </w:rPr>
  </w:style>
  <w:style w:type="character" w:styleId="728" w:customStyle="1">
    <w:name w:val="Heading 5 Char"/>
    <w:basedOn w:val="721"/>
    <w:link w:val="890"/>
    <w:uiPriority w:val="99"/>
    <w:rPr>
      <w:rFonts w:ascii="Arial" w:hAnsi="Arial" w:cs="Arial"/>
      <w:b/>
      <w:bCs/>
      <w:sz w:val="24"/>
      <w:szCs w:val="24"/>
    </w:rPr>
  </w:style>
  <w:style w:type="character" w:styleId="729" w:customStyle="1">
    <w:name w:val="Heading 6 Char"/>
    <w:basedOn w:val="721"/>
    <w:link w:val="891"/>
    <w:uiPriority w:val="99"/>
    <w:rPr>
      <w:rFonts w:ascii="Arial" w:hAnsi="Arial" w:cs="Arial"/>
      <w:b/>
      <w:bCs/>
      <w:sz w:val="22"/>
      <w:szCs w:val="22"/>
    </w:rPr>
  </w:style>
  <w:style w:type="character" w:styleId="730" w:customStyle="1">
    <w:name w:val="Heading 7 Char"/>
    <w:basedOn w:val="721"/>
    <w:link w:val="89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1" w:customStyle="1">
    <w:name w:val="Heading 8 Char"/>
    <w:basedOn w:val="721"/>
    <w:link w:val="893"/>
    <w:uiPriority w:val="99"/>
    <w:rPr>
      <w:rFonts w:ascii="Arial" w:hAnsi="Arial" w:cs="Arial"/>
      <w:i/>
      <w:iCs/>
      <w:sz w:val="22"/>
      <w:szCs w:val="22"/>
    </w:rPr>
  </w:style>
  <w:style w:type="character" w:styleId="732" w:customStyle="1">
    <w:name w:val="Heading 9 Char"/>
    <w:basedOn w:val="721"/>
    <w:link w:val="894"/>
    <w:uiPriority w:val="99"/>
    <w:rPr>
      <w:rFonts w:ascii="Arial" w:hAnsi="Arial" w:cs="Arial"/>
      <w:i/>
      <w:iCs/>
      <w:sz w:val="21"/>
      <w:szCs w:val="21"/>
    </w:rPr>
  </w:style>
  <w:style w:type="paragraph" w:styleId="733">
    <w:name w:val="Header"/>
    <w:basedOn w:val="711"/>
    <w:link w:val="734"/>
    <w:uiPriority w:val="99"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basedOn w:val="721"/>
    <w:link w:val="928"/>
    <w:uiPriority w:val="99"/>
    <w:rPr>
      <w:rFonts w:cs="Times New Roman"/>
    </w:rPr>
  </w:style>
  <w:style w:type="paragraph" w:styleId="735">
    <w:name w:val="Footer"/>
    <w:basedOn w:val="711"/>
    <w:link w:val="738"/>
    <w:uiPriority w:val="99"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basedOn w:val="721"/>
    <w:link w:val="735"/>
    <w:uiPriority w:val="99"/>
    <w:rPr>
      <w:rFonts w:cs="Times New Roman"/>
    </w:rPr>
  </w:style>
  <w:style w:type="paragraph" w:styleId="737">
    <w:name w:val="Caption"/>
    <w:basedOn w:val="711"/>
    <w:next w:val="71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8" w:customStyle="1">
    <w:name w:val="Footer Char1"/>
    <w:link w:val="735"/>
    <w:uiPriority w:val="99"/>
  </w:style>
  <w:style w:type="character" w:styleId="739" w:customStyle="1">
    <w:name w:val="Footnote Text Char"/>
    <w:uiPriority w:val="99"/>
    <w:rPr>
      <w:sz w:val="18"/>
    </w:rPr>
  </w:style>
  <w:style w:type="paragraph" w:styleId="740">
    <w:name w:val="endnote text"/>
    <w:basedOn w:val="711"/>
    <w:link w:val="741"/>
    <w:uiPriority w:val="99"/>
    <w:semiHidden/>
    <w:rPr>
      <w:sz w:val="20"/>
      <w:szCs w:val="20"/>
      <w:lang w:val="ru-RU" w:eastAsia="ru-RU"/>
    </w:rPr>
  </w:style>
  <w:style w:type="character" w:styleId="741" w:customStyle="1">
    <w:name w:val="Endnote Text Char"/>
    <w:basedOn w:val="721"/>
    <w:link w:val="740"/>
    <w:uiPriority w:val="99"/>
    <w:rPr>
      <w:rFonts w:cs="Times New Roman"/>
      <w:sz w:val="20"/>
    </w:rPr>
  </w:style>
  <w:style w:type="character" w:styleId="742">
    <w:name w:val="endnote reference"/>
    <w:basedOn w:val="721"/>
    <w:uiPriority w:val="99"/>
    <w:semiHidden/>
    <w:rPr>
      <w:rFonts w:cs="Times New Roman"/>
      <w:vertAlign w:val="superscript"/>
    </w:rPr>
  </w:style>
  <w:style w:type="paragraph" w:styleId="743">
    <w:name w:val="table of figures"/>
    <w:basedOn w:val="711"/>
    <w:next w:val="711"/>
    <w:uiPriority w:val="99"/>
  </w:style>
  <w:style w:type="character" w:styleId="744" w:customStyle="1">
    <w:name w:val="Title Char"/>
    <w:basedOn w:val="721"/>
    <w:link w:val="906"/>
    <w:uiPriority w:val="99"/>
    <w:rPr>
      <w:rFonts w:cs="Times New Roman"/>
      <w:sz w:val="48"/>
      <w:szCs w:val="48"/>
    </w:rPr>
  </w:style>
  <w:style w:type="character" w:styleId="745" w:customStyle="1">
    <w:name w:val="Subtitle Char"/>
    <w:basedOn w:val="721"/>
    <w:link w:val="908"/>
    <w:uiPriority w:val="99"/>
    <w:rPr>
      <w:rFonts w:cs="Times New Roman"/>
      <w:sz w:val="24"/>
      <w:szCs w:val="24"/>
    </w:rPr>
  </w:style>
  <w:style w:type="character" w:styleId="746" w:customStyle="1">
    <w:name w:val="Quote Char"/>
    <w:uiPriority w:val="99"/>
    <w:rPr>
      <w:i/>
    </w:rPr>
  </w:style>
  <w:style w:type="character" w:styleId="747" w:customStyle="1">
    <w:name w:val="Intense Quote Char"/>
    <w:uiPriority w:val="99"/>
    <w:rPr>
      <w:i/>
    </w:rPr>
  </w:style>
  <w:style w:type="table" w:styleId="74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3">
    <w:name w:val="Hyperlink"/>
    <w:basedOn w:val="721"/>
    <w:uiPriority w:val="99"/>
    <w:rPr>
      <w:rFonts w:cs="Times New Roman"/>
      <w:color w:val="0000FF"/>
      <w:u w:val="single"/>
    </w:rPr>
  </w:style>
  <w:style w:type="paragraph" w:styleId="874">
    <w:name w:val="footnote text"/>
    <w:basedOn w:val="711"/>
    <w:link w:val="875"/>
    <w:uiPriority w:val="99"/>
    <w:semiHidden/>
    <w:rPr>
      <w:sz w:val="18"/>
      <w:szCs w:val="20"/>
      <w:lang w:val="ru-RU" w:eastAsia="ru-RU"/>
    </w:rPr>
    <w:pPr>
      <w:spacing w:after="40"/>
    </w:pPr>
  </w:style>
  <w:style w:type="character" w:styleId="875" w:customStyle="1">
    <w:name w:val="Footnote Text Char1"/>
    <w:basedOn w:val="721"/>
    <w:link w:val="874"/>
    <w:uiPriority w:val="99"/>
    <w:rPr>
      <w:rFonts w:cs="Times New Roman"/>
      <w:sz w:val="18"/>
    </w:rPr>
  </w:style>
  <w:style w:type="character" w:styleId="876">
    <w:name w:val="footnote reference"/>
    <w:basedOn w:val="721"/>
    <w:uiPriority w:val="99"/>
    <w:rPr>
      <w:rFonts w:cs="Times New Roman"/>
      <w:vertAlign w:val="superscript"/>
    </w:rPr>
  </w:style>
  <w:style w:type="paragraph" w:styleId="877">
    <w:name w:val="toc 1"/>
    <w:basedOn w:val="711"/>
    <w:next w:val="711"/>
    <w:uiPriority w:val="99"/>
    <w:pPr>
      <w:spacing w:after="57"/>
    </w:pPr>
  </w:style>
  <w:style w:type="paragraph" w:styleId="878">
    <w:name w:val="toc 2"/>
    <w:basedOn w:val="711"/>
    <w:next w:val="711"/>
    <w:uiPriority w:val="99"/>
    <w:pPr>
      <w:ind w:left="283"/>
      <w:spacing w:after="57"/>
    </w:pPr>
  </w:style>
  <w:style w:type="paragraph" w:styleId="879">
    <w:name w:val="toc 3"/>
    <w:basedOn w:val="711"/>
    <w:next w:val="711"/>
    <w:uiPriority w:val="99"/>
    <w:pPr>
      <w:ind w:left="567"/>
      <w:spacing w:after="57"/>
    </w:pPr>
  </w:style>
  <w:style w:type="paragraph" w:styleId="880">
    <w:name w:val="toc 4"/>
    <w:basedOn w:val="711"/>
    <w:next w:val="711"/>
    <w:uiPriority w:val="99"/>
    <w:pPr>
      <w:ind w:left="850"/>
      <w:spacing w:after="57"/>
    </w:pPr>
  </w:style>
  <w:style w:type="paragraph" w:styleId="881">
    <w:name w:val="toc 5"/>
    <w:basedOn w:val="711"/>
    <w:next w:val="711"/>
    <w:uiPriority w:val="99"/>
    <w:pPr>
      <w:ind w:left="1134"/>
      <w:spacing w:after="57"/>
    </w:pPr>
  </w:style>
  <w:style w:type="paragraph" w:styleId="882">
    <w:name w:val="toc 6"/>
    <w:basedOn w:val="711"/>
    <w:next w:val="711"/>
    <w:uiPriority w:val="99"/>
    <w:pPr>
      <w:ind w:left="1417"/>
      <w:spacing w:after="57"/>
    </w:pPr>
  </w:style>
  <w:style w:type="paragraph" w:styleId="883">
    <w:name w:val="toc 7"/>
    <w:basedOn w:val="711"/>
    <w:next w:val="711"/>
    <w:uiPriority w:val="99"/>
    <w:pPr>
      <w:ind w:left="1701"/>
      <w:spacing w:after="57"/>
    </w:pPr>
  </w:style>
  <w:style w:type="paragraph" w:styleId="884">
    <w:name w:val="toc 8"/>
    <w:basedOn w:val="711"/>
    <w:next w:val="711"/>
    <w:uiPriority w:val="99"/>
    <w:pPr>
      <w:ind w:left="1984"/>
      <w:spacing w:after="57"/>
    </w:pPr>
  </w:style>
  <w:style w:type="paragraph" w:styleId="885">
    <w:name w:val="toc 9"/>
    <w:basedOn w:val="711"/>
    <w:next w:val="711"/>
    <w:uiPriority w:val="99"/>
    <w:pPr>
      <w:ind w:left="2268"/>
      <w:spacing w:after="57"/>
    </w:pPr>
  </w:style>
  <w:style w:type="paragraph" w:styleId="886" w:customStyle="1">
    <w:name w:val="Heading 11"/>
    <w:basedOn w:val="711"/>
    <w:next w:val="711"/>
    <w:link w:val="897"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87" w:customStyle="1">
    <w:name w:val="Heading 21"/>
    <w:basedOn w:val="711"/>
    <w:next w:val="711"/>
    <w:link w:val="898"/>
    <w:uiPriority w:val="99"/>
    <w:semiHidden/>
    <w:rPr>
      <w:rFonts w:ascii="Cambria" w:hAnsi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88" w:customStyle="1">
    <w:name w:val="Heading 31"/>
    <w:basedOn w:val="711"/>
    <w:next w:val="711"/>
    <w:link w:val="899"/>
    <w:uiPriority w:val="99"/>
    <w:semiHidden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89" w:customStyle="1">
    <w:name w:val="Heading 41"/>
    <w:basedOn w:val="711"/>
    <w:next w:val="711"/>
    <w:link w:val="900"/>
    <w:uiPriority w:val="99"/>
    <w:semiHidden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90" w:customStyle="1">
    <w:name w:val="Heading 51"/>
    <w:basedOn w:val="711"/>
    <w:next w:val="711"/>
    <w:link w:val="901"/>
    <w:uiPriority w:val="99"/>
    <w:semiHidden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91" w:customStyle="1">
    <w:name w:val="Heading 61"/>
    <w:basedOn w:val="711"/>
    <w:next w:val="711"/>
    <w:link w:val="902"/>
    <w:uiPriority w:val="99"/>
    <w:semiHidden/>
    <w:rPr>
      <w:b/>
      <w:bCs/>
      <w:sz w:val="22"/>
      <w:szCs w:val="22"/>
    </w:rPr>
    <w:pPr>
      <w:spacing w:after="60" w:before="240"/>
      <w:outlineLvl w:val="5"/>
    </w:pPr>
  </w:style>
  <w:style w:type="paragraph" w:styleId="892" w:customStyle="1">
    <w:name w:val="Heading 71"/>
    <w:basedOn w:val="711"/>
    <w:next w:val="711"/>
    <w:link w:val="903"/>
    <w:uiPriority w:val="99"/>
    <w:semiHidden/>
    <w:pPr>
      <w:spacing w:after="60" w:before="240"/>
      <w:outlineLvl w:val="6"/>
    </w:pPr>
  </w:style>
  <w:style w:type="paragraph" w:styleId="893" w:customStyle="1">
    <w:name w:val="Heading 81"/>
    <w:basedOn w:val="711"/>
    <w:next w:val="711"/>
    <w:link w:val="904"/>
    <w:uiPriority w:val="99"/>
    <w:semiHidden/>
    <w:rPr>
      <w:i/>
      <w:iCs/>
    </w:rPr>
    <w:pPr>
      <w:spacing w:after="60" w:before="240"/>
      <w:outlineLvl w:val="7"/>
    </w:pPr>
  </w:style>
  <w:style w:type="paragraph" w:styleId="894" w:customStyle="1">
    <w:name w:val="Heading 91"/>
    <w:basedOn w:val="711"/>
    <w:next w:val="711"/>
    <w:link w:val="905"/>
    <w:uiPriority w:val="99"/>
    <w:semiHidden/>
    <w:rPr>
      <w:rFonts w:ascii="Cambria" w:hAnsi="Cambria"/>
      <w:sz w:val="22"/>
      <w:szCs w:val="22"/>
    </w:rPr>
    <w:pPr>
      <w:spacing w:after="60" w:before="240"/>
      <w:outlineLvl w:val="8"/>
    </w:pPr>
  </w:style>
  <w:style w:type="paragraph" w:styleId="895">
    <w:name w:val="Balloon Text"/>
    <w:basedOn w:val="711"/>
    <w:link w:val="896"/>
    <w:uiPriority w:val="99"/>
    <w:semiHidden/>
    <w:rPr>
      <w:rFonts w:ascii="Tahoma" w:hAnsi="Tahoma" w:cs="Tahoma"/>
      <w:sz w:val="16"/>
      <w:szCs w:val="16"/>
    </w:rPr>
  </w:style>
  <w:style w:type="character" w:styleId="896" w:customStyle="1">
    <w:name w:val="Balloon Text Char"/>
    <w:basedOn w:val="721"/>
    <w:link w:val="895"/>
    <w:uiPriority w:val="99"/>
    <w:semiHidden/>
    <w:rPr>
      <w:rFonts w:ascii="Tahoma" w:hAnsi="Tahoma" w:cs="Tahoma"/>
      <w:sz w:val="16"/>
      <w:szCs w:val="16"/>
    </w:rPr>
  </w:style>
  <w:style w:type="character" w:styleId="897" w:customStyle="1">
    <w:name w:val="Заголовок 1 Знак"/>
    <w:basedOn w:val="721"/>
    <w:link w:val="886"/>
    <w:uiPriority w:val="99"/>
    <w:rPr>
      <w:rFonts w:ascii="Cambria" w:hAnsi="Cambria" w:cs="Times New Roman"/>
      <w:b/>
      <w:bCs/>
      <w:sz w:val="32"/>
      <w:szCs w:val="32"/>
    </w:rPr>
  </w:style>
  <w:style w:type="character" w:styleId="898" w:customStyle="1">
    <w:name w:val="Заголовок 2 Знак"/>
    <w:basedOn w:val="721"/>
    <w:link w:val="887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styleId="899" w:customStyle="1">
    <w:name w:val="Заголовок 3 Знак"/>
    <w:basedOn w:val="721"/>
    <w:link w:val="888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styleId="900" w:customStyle="1">
    <w:name w:val="Заголовок 4 Знак"/>
    <w:basedOn w:val="721"/>
    <w:link w:val="889"/>
    <w:uiPriority w:val="99"/>
    <w:rPr>
      <w:rFonts w:cs="Times New Roman"/>
      <w:b/>
      <w:bCs/>
      <w:sz w:val="28"/>
      <w:szCs w:val="28"/>
    </w:rPr>
  </w:style>
  <w:style w:type="character" w:styleId="901" w:customStyle="1">
    <w:name w:val="Заголовок 5 Знак"/>
    <w:basedOn w:val="721"/>
    <w:link w:val="890"/>
    <w:uiPriority w:val="99"/>
    <w:semiHidden/>
    <w:rPr>
      <w:rFonts w:cs="Times New Roman"/>
      <w:b/>
      <w:bCs/>
      <w:i/>
      <w:iCs/>
      <w:sz w:val="26"/>
      <w:szCs w:val="26"/>
    </w:rPr>
  </w:style>
  <w:style w:type="character" w:styleId="902" w:customStyle="1">
    <w:name w:val="Заголовок 6 Знак"/>
    <w:basedOn w:val="721"/>
    <w:link w:val="891"/>
    <w:uiPriority w:val="99"/>
    <w:semiHidden/>
    <w:rPr>
      <w:rFonts w:cs="Times New Roman"/>
      <w:b/>
      <w:bCs/>
    </w:rPr>
  </w:style>
  <w:style w:type="character" w:styleId="903" w:customStyle="1">
    <w:name w:val="Заголовок 7 Знак"/>
    <w:basedOn w:val="721"/>
    <w:link w:val="892"/>
    <w:uiPriority w:val="99"/>
    <w:semiHidden/>
    <w:rPr>
      <w:rFonts w:cs="Times New Roman"/>
      <w:sz w:val="24"/>
      <w:szCs w:val="24"/>
    </w:rPr>
  </w:style>
  <w:style w:type="character" w:styleId="904" w:customStyle="1">
    <w:name w:val="Заголовок 8 Знак"/>
    <w:basedOn w:val="721"/>
    <w:link w:val="893"/>
    <w:uiPriority w:val="99"/>
    <w:semiHidden/>
    <w:rPr>
      <w:rFonts w:cs="Times New Roman"/>
      <w:i/>
      <w:iCs/>
      <w:sz w:val="24"/>
      <w:szCs w:val="24"/>
    </w:rPr>
  </w:style>
  <w:style w:type="character" w:styleId="905" w:customStyle="1">
    <w:name w:val="Заголовок 9 Знак"/>
    <w:basedOn w:val="721"/>
    <w:link w:val="894"/>
    <w:uiPriority w:val="99"/>
    <w:semiHidden/>
    <w:rPr>
      <w:rFonts w:ascii="Cambria" w:hAnsi="Cambria" w:cs="Times New Roman"/>
    </w:rPr>
  </w:style>
  <w:style w:type="paragraph" w:styleId="906">
    <w:name w:val="Title"/>
    <w:basedOn w:val="711"/>
    <w:next w:val="711"/>
    <w:link w:val="907"/>
    <w:qFormat/>
    <w:uiPriority w:val="99"/>
    <w:rPr>
      <w:rFonts w:ascii="Cambria" w:hAnsi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07" w:customStyle="1">
    <w:name w:val="Title Char1"/>
    <w:basedOn w:val="721"/>
    <w:link w:val="906"/>
    <w:uiPriority w:val="99"/>
    <w:rPr>
      <w:rFonts w:ascii="Cambria" w:hAnsi="Cambria" w:cs="Times New Roman"/>
      <w:b/>
      <w:bCs/>
      <w:sz w:val="32"/>
      <w:szCs w:val="32"/>
    </w:rPr>
  </w:style>
  <w:style w:type="paragraph" w:styleId="908">
    <w:name w:val="Subtitle"/>
    <w:basedOn w:val="711"/>
    <w:next w:val="711"/>
    <w:link w:val="909"/>
    <w:qFormat/>
    <w:uiPriority w:val="99"/>
    <w:rPr>
      <w:rFonts w:ascii="Cambria" w:hAnsi="Cambria"/>
    </w:rPr>
    <w:pPr>
      <w:jc w:val="center"/>
      <w:spacing w:after="60"/>
      <w:outlineLvl w:val="1"/>
    </w:pPr>
  </w:style>
  <w:style w:type="character" w:styleId="909" w:customStyle="1">
    <w:name w:val="Subtitle Char1"/>
    <w:basedOn w:val="721"/>
    <w:link w:val="908"/>
    <w:uiPriority w:val="99"/>
    <w:rPr>
      <w:rFonts w:ascii="Cambria" w:hAnsi="Cambria" w:cs="Times New Roman"/>
      <w:sz w:val="24"/>
      <w:szCs w:val="24"/>
    </w:rPr>
  </w:style>
  <w:style w:type="character" w:styleId="910">
    <w:name w:val="Strong"/>
    <w:basedOn w:val="721"/>
    <w:qFormat/>
    <w:uiPriority w:val="99"/>
    <w:rPr>
      <w:rFonts w:cs="Times New Roman"/>
      <w:b/>
      <w:bCs/>
    </w:rPr>
  </w:style>
  <w:style w:type="character" w:styleId="911">
    <w:name w:val="Emphasis"/>
    <w:basedOn w:val="721"/>
    <w:qFormat/>
    <w:uiPriority w:val="99"/>
    <w:rPr>
      <w:rFonts w:ascii="Calibri" w:hAnsi="Calibri" w:cs="Times New Roman"/>
      <w:b/>
      <w:i/>
      <w:iCs/>
    </w:rPr>
  </w:style>
  <w:style w:type="paragraph" w:styleId="912">
    <w:name w:val="No Spacing"/>
    <w:basedOn w:val="711"/>
    <w:qFormat/>
    <w:uiPriority w:val="99"/>
    <w:rPr>
      <w:sz w:val="32"/>
      <w:szCs w:val="32"/>
    </w:rPr>
  </w:style>
  <w:style w:type="paragraph" w:styleId="913">
    <w:name w:val="List Paragraph"/>
    <w:basedOn w:val="711"/>
    <w:qFormat/>
    <w:uiPriority w:val="99"/>
    <w:pPr>
      <w:contextualSpacing w:val="true"/>
      <w:ind w:left="720"/>
    </w:pPr>
  </w:style>
  <w:style w:type="paragraph" w:styleId="914">
    <w:name w:val="Quote"/>
    <w:basedOn w:val="711"/>
    <w:next w:val="711"/>
    <w:link w:val="915"/>
    <w:qFormat/>
    <w:uiPriority w:val="99"/>
    <w:rPr>
      <w:i/>
      <w:sz w:val="20"/>
      <w:szCs w:val="20"/>
      <w:lang w:val="ru-RU" w:eastAsia="ru-RU"/>
    </w:rPr>
  </w:style>
  <w:style w:type="character" w:styleId="915" w:customStyle="1">
    <w:name w:val="Quote Char1"/>
    <w:basedOn w:val="721"/>
    <w:link w:val="914"/>
    <w:uiPriority w:val="99"/>
    <w:rPr>
      <w:rFonts w:cs="Times New Roman"/>
      <w:i/>
      <w:sz w:val="24"/>
      <w:szCs w:val="24"/>
    </w:rPr>
  </w:style>
  <w:style w:type="paragraph" w:styleId="916">
    <w:name w:val="Intense Quote"/>
    <w:basedOn w:val="711"/>
    <w:next w:val="711"/>
    <w:link w:val="91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7" w:customStyle="1">
    <w:name w:val="Intense Quote Char1"/>
    <w:basedOn w:val="721"/>
    <w:link w:val="916"/>
    <w:uiPriority w:val="99"/>
    <w:rPr>
      <w:rFonts w:cs="Times New Roman"/>
      <w:b/>
      <w:i/>
      <w:sz w:val="24"/>
    </w:rPr>
  </w:style>
  <w:style w:type="character" w:styleId="918">
    <w:name w:val="Subtle Emphasis"/>
    <w:basedOn w:val="721"/>
    <w:qFormat/>
    <w:uiPriority w:val="99"/>
    <w:rPr>
      <w:rFonts w:cs="Times New Roman"/>
      <w:i/>
      <w:color w:val="5A5A5A"/>
    </w:rPr>
  </w:style>
  <w:style w:type="character" w:styleId="919">
    <w:name w:val="Intense Emphasis"/>
    <w:basedOn w:val="721"/>
    <w:qFormat/>
    <w:uiPriority w:val="99"/>
    <w:rPr>
      <w:rFonts w:cs="Times New Roman"/>
      <w:b/>
      <w:i/>
      <w:sz w:val="24"/>
      <w:szCs w:val="24"/>
      <w:u w:val="single"/>
    </w:rPr>
  </w:style>
  <w:style w:type="character" w:styleId="920">
    <w:name w:val="Subtle Reference"/>
    <w:basedOn w:val="721"/>
    <w:qFormat/>
    <w:uiPriority w:val="99"/>
    <w:rPr>
      <w:rFonts w:cs="Times New Roman"/>
      <w:sz w:val="24"/>
      <w:szCs w:val="24"/>
      <w:u w:val="single"/>
    </w:rPr>
  </w:style>
  <w:style w:type="character" w:styleId="921">
    <w:name w:val="Intense Reference"/>
    <w:basedOn w:val="721"/>
    <w:qFormat/>
    <w:uiPriority w:val="99"/>
    <w:rPr>
      <w:rFonts w:cs="Times New Roman"/>
      <w:b/>
      <w:sz w:val="24"/>
      <w:u w:val="single"/>
    </w:rPr>
  </w:style>
  <w:style w:type="character" w:styleId="922">
    <w:name w:val="Book Title"/>
    <w:basedOn w:val="721"/>
    <w:qFormat/>
    <w:uiPriority w:val="99"/>
    <w:rPr>
      <w:rFonts w:ascii="Cambria" w:hAnsi="Cambria" w:cs="Times New Roman"/>
      <w:b/>
      <w:i/>
      <w:sz w:val="24"/>
      <w:szCs w:val="24"/>
    </w:rPr>
  </w:style>
  <w:style w:type="character" w:styleId="923" w:customStyle="1">
    <w:name w:val="Heading 1 Char1"/>
    <w:basedOn w:val="721"/>
    <w:link w:val="712"/>
    <w:uiPriority w:val="99"/>
    <w:rPr>
      <w:rFonts w:ascii="Cambria" w:hAnsi="Cambria" w:cs="Times New Roman"/>
      <w:b/>
      <w:bCs/>
      <w:sz w:val="32"/>
      <w:szCs w:val="32"/>
      <w:lang w:val="en-US" w:eastAsia="en-US"/>
    </w:rPr>
  </w:style>
  <w:style w:type="paragraph" w:styleId="924">
    <w:name w:val="TOC Heading"/>
    <w:basedOn w:val="886"/>
    <w:next w:val="711"/>
    <w:qFormat/>
    <w:uiPriority w:val="99"/>
    <w:pPr>
      <w:outlineLvl w:val="9"/>
    </w:pPr>
  </w:style>
  <w:style w:type="table" w:styleId="925">
    <w:name w:val="Table Grid"/>
    <w:basedOn w:val="72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6">
    <w:name w:val="Body Text 2"/>
    <w:basedOn w:val="711"/>
    <w:link w:val="927"/>
    <w:uiPriority w:val="99"/>
    <w:semiHidden/>
    <w:rPr>
      <w:rFonts w:eastAsia="Times New Roman"/>
      <w:sz w:val="22"/>
      <w:szCs w:val="22"/>
      <w:lang w:val="uk-UA" w:eastAsia="uk-UA"/>
    </w:rPr>
    <w:pPr>
      <w:spacing w:lineRule="auto" w:line="480" w:after="120"/>
    </w:pPr>
  </w:style>
  <w:style w:type="character" w:styleId="927" w:customStyle="1">
    <w:name w:val="Body Text 2 Char"/>
    <w:basedOn w:val="721"/>
    <w:link w:val="926"/>
    <w:uiPriority w:val="99"/>
    <w:semiHidden/>
    <w:rPr>
      <w:rFonts w:ascii="Calibri" w:hAnsi="Calibri" w:cs="Times New Roman"/>
      <w:lang w:val="uk-UA" w:bidi="ar-SA" w:eastAsia="uk-UA"/>
    </w:rPr>
  </w:style>
  <w:style w:type="paragraph" w:styleId="928" w:customStyle="1">
    <w:name w:val="Header1"/>
    <w:basedOn w:val="711"/>
    <w:link w:val="929"/>
    <w:uiPriority w:val="99"/>
    <w:rPr>
      <w:rFonts w:ascii="Times New Roman" w:hAnsi="Times New Roman" w:eastAsia="Times New Roman"/>
      <w:sz w:val="20"/>
      <w:szCs w:val="20"/>
      <w:lang w:val="uk-UA" w:eastAsia="ru-RU"/>
    </w:rPr>
    <w:pPr>
      <w:tabs>
        <w:tab w:val="center" w:pos="4153" w:leader="none"/>
        <w:tab w:val="right" w:pos="8306" w:leader="none"/>
      </w:tabs>
    </w:pPr>
  </w:style>
  <w:style w:type="character" w:styleId="929" w:customStyle="1">
    <w:name w:val="Верхний колонтитул Знак"/>
    <w:basedOn w:val="721"/>
    <w:link w:val="928"/>
    <w:uiPriority w:val="99"/>
    <w:rPr>
      <w:rFonts w:ascii="Times New Roman" w:hAnsi="Times New Roman" w:cs="Times New Roman"/>
      <w:sz w:val="20"/>
      <w:szCs w:val="20"/>
      <w:lang w:val="uk-UA" w:bidi="ar-SA" w:eastAsia="ru-RU"/>
    </w:rPr>
  </w:style>
  <w:style w:type="character" w:styleId="930">
    <w:name w:val="page number"/>
    <w:basedOn w:val="721"/>
    <w:uiPriority w:val="99"/>
    <w:rPr>
      <w:rFonts w:cs="Times New Roman"/>
    </w:rPr>
  </w:style>
  <w:style w:type="paragraph" w:styleId="931" w:customStyle="1">
    <w:name w:val="Footer1"/>
    <w:basedOn w:val="711"/>
    <w:link w:val="932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932" w:customStyle="1">
    <w:name w:val="Нижний колонтитул Знак"/>
    <w:basedOn w:val="721"/>
    <w:link w:val="931"/>
    <w:uiPriority w:val="99"/>
    <w:semiHidden/>
    <w:rPr>
      <w:rFonts w:cs="Times New Roman"/>
      <w:sz w:val="24"/>
      <w:szCs w:val="24"/>
    </w:rPr>
  </w:style>
  <w:style w:type="paragraph" w:styleId="933" w:customStyle="1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32</cp:revision>
  <dcterms:created xsi:type="dcterms:W3CDTF">2021-11-05T08:00:00Z</dcterms:created>
  <dcterms:modified xsi:type="dcterms:W3CDTF">2023-04-05T14:13:41Z</dcterms:modified>
</cp:coreProperties>
</file>