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center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898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</w:r>
      <w:r>
        <w:rPr>
          <w:sz w:val="28"/>
        </w:rPr>
      </w:r>
    </w:p>
    <w:p>
      <w:pPr>
        <w:pStyle w:val="898"/>
        <w:jc w:val="center"/>
        <w:rPr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b/>
          <w:color w:val="000000"/>
          <w:sz w:val="28"/>
          <w:lang w:val="uk-UA"/>
        </w:rPr>
        <w:t xml:space="preserve">(двадцять шоста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</w:p>
    <w:p>
      <w:pPr>
        <w:pStyle w:val="899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23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442</w:t>
      </w:r>
      <w:r>
        <w:rPr>
          <w:sz w:val="28"/>
        </w:rPr>
      </w:r>
    </w:p>
    <w:p>
      <w:pPr>
        <w:pStyle w:val="899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</w:p>
    <w:p>
      <w:pPr>
        <w:pStyle w:val="899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>
        <w:rPr>
          <w:sz w:val="28"/>
        </w:rPr>
      </w:r>
    </w:p>
    <w:p>
      <w:pPr>
        <w:pStyle w:val="899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sz w:val="28"/>
        </w:rPr>
      </w:r>
    </w:p>
    <w:p>
      <w:pPr>
        <w:pStyle w:val="89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ділянок, </w:t>
      </w:r>
      <w:r>
        <w:rPr>
          <w:rFonts w:ascii="Times New Roman" w:hAnsi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 </w:t>
      </w:r>
      <w:r>
        <w:rPr>
          <w:rFonts w:ascii="Times New Roman" w:hAnsi="Times New Roman"/>
          <w:sz w:val="28"/>
          <w:szCs w:val="28"/>
        </w:rPr>
        <w:t xml:space="preserve">КСП ім. Мічуріна </w:t>
      </w:r>
      <w:r>
        <w:rPr>
          <w:rFonts w:ascii="Times New Roman" w:hAnsi="Times New Roman"/>
          <w:sz w:val="28"/>
          <w:szCs w:val="28"/>
        </w:rPr>
        <w:t xml:space="preserve">КСП</w:t>
      </w:r>
      <w:r>
        <w:rPr>
          <w:rFonts w:ascii="Times New Roman" w:hAnsi="Times New Roman"/>
          <w:sz w:val="28"/>
          <w:szCs w:val="28"/>
        </w:rPr>
        <w:t xml:space="preserve"> за межами с. Волосківці та с. Ушня, КСП</w:t>
      </w:r>
      <w:r>
        <w:rPr>
          <w:rFonts w:ascii="Times New Roman" w:hAnsi="Times New Roman"/>
          <w:sz w:val="28"/>
          <w:szCs w:val="28"/>
        </w:rPr>
        <w:t xml:space="preserve"> «Полісся» за межами с. Синявка</w:t>
      </w:r>
      <w:r>
        <w:rPr>
          <w:rFonts w:ascii="Times New Roman" w:hAnsi="Times New Roman"/>
          <w:sz w:val="28"/>
          <w:szCs w:val="28"/>
        </w:rPr>
        <w:t xml:space="preserve">, КСП «Великий Жовтень» за межами с. Покровське, КСП </w:t>
      </w:r>
      <w:r>
        <w:rPr>
          <w:rFonts w:ascii="Times New Roman" w:hAnsi="Times New Roman"/>
          <w:sz w:val="28"/>
          <w:szCs w:val="28"/>
        </w:rPr>
        <w:t xml:space="preserve">«Шлях Жовтня» за межами с. Слобідка, </w:t>
      </w:r>
      <w:r>
        <w:rPr>
          <w:rFonts w:ascii="Times New Roman" w:hAnsi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8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89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Надати дозвіл громадянам, власникам сертифікатів, на виготовлення документації із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>
        <w:rPr>
          <w:sz w:val="28"/>
        </w:rPr>
      </w:r>
    </w:p>
    <w:p>
      <w:pPr>
        <w:pStyle w:val="899"/>
        <w:numPr>
          <w:ilvl w:val="0"/>
          <w:numId w:val="5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Волосківці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с. Ушня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899"/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Калібаба Віталій Володимирович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ЧН №0284129</w:t>
      </w:r>
      <w:r>
        <w:rPr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345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26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22.</w:t>
      </w:r>
      <w:r>
        <w:rPr>
          <w:sz w:val="28"/>
        </w:rPr>
      </w:r>
    </w:p>
    <w:p>
      <w:pPr>
        <w:pStyle w:val="89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</w:p>
    <w:p>
      <w:pPr>
        <w:pStyle w:val="899"/>
        <w:numPr>
          <w:ilvl w:val="0"/>
          <w:numId w:val="5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Синявка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899"/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Котляр Наталія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Євгенії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0269713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  <w:lang w:val="uk-UA"/>
        </w:rPr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208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sz w:val="28"/>
        </w:rPr>
      </w:r>
    </w:p>
    <w:p>
      <w:pPr>
        <w:pStyle w:val="899"/>
        <w:ind w:firstLine="567"/>
        <w:jc w:val="both"/>
        <w:rPr>
          <w:rFonts w:ascii="Times New Roman" w:hAnsi="Times New Roman"/>
          <w:color w:val="000000"/>
          <w:sz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</w:p>
    <w:p>
      <w:pPr>
        <w:pStyle w:val="899"/>
        <w:numPr>
          <w:ilvl w:val="0"/>
          <w:numId w:val="5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Покровське: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>
        <w:rPr>
          <w:sz w:val="28"/>
        </w:rPr>
      </w:r>
    </w:p>
    <w:p>
      <w:pPr>
        <w:pStyle w:val="899"/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Велентій Ганна Василівна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0271115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(1/5 частка) 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  <w:lang w:val="uk-UA"/>
        </w:rPr>
        <w:t xml:space="preserve">спадщ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ину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19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10.202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1461,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203/20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06.</w:t>
      </w:r>
      <w:r>
        <w:rPr>
          <w:rFonts w:ascii="Times New Roman" w:hAnsi="Times New Roman"/>
          <w:color w:val="000000" w:themeColor="text1"/>
          <w:sz w:val="28"/>
          <w:szCs w:val="24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899"/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Велентій Ганна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Василівна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0271116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(1/10 частка) 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19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10.202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1463,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203/20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06.</w:t>
      </w:r>
      <w:r>
        <w:rPr>
          <w:rFonts w:ascii="Times New Roman" w:hAnsi="Times New Roman"/>
          <w:color w:val="000000"/>
          <w:sz w:val="28"/>
          <w:szCs w:val="24"/>
        </w:rPr>
      </w:r>
      <w:r>
        <w:rPr>
          <w:sz w:val="28"/>
        </w:rPr>
      </w:r>
    </w:p>
    <w:p>
      <w:pPr>
        <w:pStyle w:val="899"/>
        <w:numPr>
          <w:ilvl w:val="0"/>
          <w:numId w:val="5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Слобідка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899"/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 w:themeColor="text1"/>
          <w:sz w:val="28"/>
          <w:szCs w:val="24"/>
          <w:highlight w:val="none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  <w:t xml:space="preserve">Пархоменко Ніна Михайлівна – ЧН № 0095705 - (сіножаті) - 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  <w:t xml:space="preserve">рішення Менського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  <w:t xml:space="preserve"> районного суду Чернігівської області від 09.02.2022 року, справа № 738/1463/21, № провадження 2/738/23/2022.</w:t>
      </w:r>
      <w:r>
        <w:rPr>
          <w:rFonts w:ascii="Times New Roman" w:hAnsi="Times New Roman"/>
          <w:color w:val="000000" w:themeColor="text1"/>
          <w:sz w:val="28"/>
          <w:highlight w:val="none"/>
        </w:rPr>
      </w:r>
    </w:p>
    <w:p>
      <w:pPr>
        <w:pStyle w:val="899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sz w:val="28"/>
        </w:rPr>
      </w:r>
      <w:bookmarkStart w:id="1" w:name="_GoBack"/>
      <w:r>
        <w:rPr>
          <w:sz w:val="28"/>
        </w:rPr>
      </w:r>
      <w:bookmarkEnd w:id="1"/>
      <w:r>
        <w:rPr>
          <w:rFonts w:ascii="Times New Roman" w:hAnsi="Times New Roman"/>
          <w:sz w:val="28"/>
          <w:szCs w:val="28"/>
        </w:rPr>
        <w:t xml:space="preserve">2. Громадяна</w:t>
      </w:r>
      <w:r>
        <w:rPr>
          <w:rFonts w:ascii="Times New Roman" w:hAnsi="Times New Roman"/>
          <w:sz w:val="28"/>
          <w:szCs w:val="28"/>
        </w:rPr>
        <w:t xml:space="preserve">м замовити технічну документацію із землеустрою та подати на затвердження в установленому законодавством порядку.</w:t>
      </w:r>
      <w:r>
        <w:rPr>
          <w:sz w:val="28"/>
        </w:rPr>
      </w:r>
    </w:p>
    <w:p>
      <w:pPr>
        <w:pStyle w:val="899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eastAsia="uk-UA"/>
        </w:rPr>
        <w:t xml:space="preserve">О.Л. 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pStyle w:val="8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pStyle w:val="8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pStyle w:val="899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</w:pPr>
    <w:fldSimple w:instr="PAGE \* MERGEFORMAT">
      <w:r>
        <w:t xml:space="preserve">1</w:t>
      </w:r>
    </w:fldSimple>
    <w:r/>
    <w:r/>
  </w:p>
  <w:p>
    <w:pPr>
      <w:pStyle w:val="7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</w:style>
  <w:style w:type="paragraph" w:styleId="700">
    <w:name w:val="Heading 1"/>
    <w:link w:val="7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1">
    <w:name w:val="Heading 2"/>
    <w:link w:val="7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2">
    <w:name w:val="Heading 3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3">
    <w:name w:val="Heading 4"/>
    <w:link w:val="7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>
    <w:name w:val="Heading 5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5">
    <w:name w:val="Heading 6"/>
    <w:link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6">
    <w:name w:val="Heading 7"/>
    <w:link w:val="73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7">
    <w:name w:val="Heading 8"/>
    <w:link w:val="73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8">
    <w:name w:val="Heading 9"/>
    <w:link w:val="7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Heading 1 Char"/>
    <w:basedOn w:val="709"/>
    <w:uiPriority w:val="9"/>
    <w:rPr>
      <w:rFonts w:ascii="Arial" w:hAnsi="Arial" w:cs="Arial" w:eastAsia="Arial"/>
      <w:sz w:val="40"/>
      <w:szCs w:val="40"/>
    </w:rPr>
  </w:style>
  <w:style w:type="character" w:styleId="713" w:customStyle="1">
    <w:name w:val="Heading 2 Char"/>
    <w:basedOn w:val="709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9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9"/>
    <w:uiPriority w:val="10"/>
    <w:rPr>
      <w:sz w:val="48"/>
      <w:szCs w:val="48"/>
    </w:rPr>
  </w:style>
  <w:style w:type="character" w:styleId="722" w:customStyle="1">
    <w:name w:val="Subtitle Char"/>
    <w:basedOn w:val="709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Endnote Text Char"/>
    <w:uiPriority w:val="99"/>
    <w:rPr>
      <w:sz w:val="20"/>
    </w:rPr>
  </w:style>
  <w:style w:type="character" w:styleId="727" w:customStyle="1">
    <w:name w:val="Заголовок 1 Знак"/>
    <w:link w:val="700"/>
    <w:uiPriority w:val="9"/>
    <w:rPr>
      <w:rFonts w:ascii="Arial" w:hAnsi="Arial" w:cs="Arial" w:eastAsia="Arial"/>
      <w:sz w:val="40"/>
      <w:szCs w:val="40"/>
    </w:rPr>
  </w:style>
  <w:style w:type="character" w:styleId="728" w:customStyle="1">
    <w:name w:val="Заголовок 2 Знак"/>
    <w:link w:val="701"/>
    <w:uiPriority w:val="9"/>
    <w:rPr>
      <w:rFonts w:ascii="Arial" w:hAnsi="Arial" w:cs="Arial" w:eastAsia="Arial"/>
      <w:sz w:val="34"/>
    </w:rPr>
  </w:style>
  <w:style w:type="character" w:styleId="729" w:customStyle="1">
    <w:name w:val="Заголовок 3 Знак"/>
    <w:link w:val="702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Заголовок 4 Знак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Заголовок 5 Знак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Заголовок 6 Знак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Заголовок 7 Знак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Заголовок 8 Знак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Заголовок 9 Знак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List Paragraph"/>
    <w:qFormat/>
    <w:uiPriority w:val="34"/>
    <w:pPr>
      <w:contextualSpacing w:val="true"/>
      <w:ind w:left="720"/>
    </w:pPr>
  </w:style>
  <w:style w:type="paragraph" w:styleId="737">
    <w:name w:val="No Spacing"/>
    <w:qFormat/>
    <w:uiPriority w:val="1"/>
  </w:style>
  <w:style w:type="paragraph" w:styleId="738">
    <w:name w:val="Title"/>
    <w:link w:val="7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9" w:customStyle="1">
    <w:name w:val="Название Знак"/>
    <w:link w:val="738"/>
    <w:uiPriority w:val="10"/>
    <w:rPr>
      <w:sz w:val="48"/>
      <w:szCs w:val="48"/>
    </w:rPr>
  </w:style>
  <w:style w:type="paragraph" w:styleId="740">
    <w:name w:val="Subtitle"/>
    <w:link w:val="741"/>
    <w:qFormat/>
    <w:uiPriority w:val="11"/>
    <w:rPr>
      <w:sz w:val="24"/>
      <w:szCs w:val="24"/>
    </w:rPr>
    <w:pPr>
      <w:spacing w:after="200" w:before="200"/>
    </w:pPr>
  </w:style>
  <w:style w:type="character" w:styleId="741" w:customStyle="1">
    <w:name w:val="Подзаголовок Знак"/>
    <w:link w:val="740"/>
    <w:uiPriority w:val="11"/>
    <w:rPr>
      <w:sz w:val="24"/>
      <w:szCs w:val="24"/>
    </w:rPr>
  </w:style>
  <w:style w:type="paragraph" w:styleId="742">
    <w:name w:val="Quote"/>
    <w:link w:val="743"/>
    <w:qFormat/>
    <w:uiPriority w:val="29"/>
    <w:rPr>
      <w:i/>
    </w:rPr>
    <w:pPr>
      <w:ind w:left="720" w:right="720"/>
    </w:p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link w:val="7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5" w:customStyle="1">
    <w:name w:val="Выделенная цитата Знак"/>
    <w:link w:val="744"/>
    <w:uiPriority w:val="30"/>
    <w:rPr>
      <w:i/>
    </w:rPr>
  </w:style>
  <w:style w:type="paragraph" w:styleId="746">
    <w:name w:val="Header"/>
    <w:basedOn w:val="699"/>
    <w:link w:val="896"/>
    <w:pPr>
      <w:tabs>
        <w:tab w:val="center" w:pos="4677" w:leader="none"/>
        <w:tab w:val="right" w:pos="9355" w:leader="none"/>
      </w:tabs>
    </w:pPr>
  </w:style>
  <w:style w:type="character" w:styleId="747" w:customStyle="1">
    <w:name w:val="Header Char"/>
    <w:uiPriority w:val="99"/>
  </w:style>
  <w:style w:type="paragraph" w:styleId="748">
    <w:name w:val="Footer"/>
    <w:basedOn w:val="699"/>
    <w:link w:val="897"/>
    <w:pPr>
      <w:tabs>
        <w:tab w:val="center" w:pos="4677" w:leader="none"/>
        <w:tab w:val="right" w:pos="9355" w:leader="none"/>
      </w:tabs>
    </w:pPr>
  </w:style>
  <w:style w:type="character" w:styleId="749" w:customStyle="1">
    <w:name w:val="Footer Char"/>
    <w:uiPriority w:val="99"/>
  </w:style>
  <w:style w:type="paragraph" w:styleId="75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 w:customStyle="1">
    <w:name w:val="Caption Char"/>
    <w:uiPriority w:val="99"/>
  </w:style>
  <w:style w:type="table" w:styleId="75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6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7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8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9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0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rPr>
      <w:color w:val="0563C1"/>
      <w:u w:val="single"/>
    </w:rPr>
  </w:style>
  <w:style w:type="paragraph" w:styleId="879">
    <w:name w:val="footnote text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link w:val="883"/>
    <w:uiPriority w:val="99"/>
    <w:semiHidden/>
    <w:unhideWhenUsed/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uiPriority w:val="99"/>
    <w:unhideWhenUsed/>
  </w:style>
  <w:style w:type="character" w:styleId="896" w:customStyle="1">
    <w:name w:val="Верхний колонтитул Знак"/>
    <w:link w:val="746"/>
    <w:rPr>
      <w:rFonts w:ascii="Calibri" w:hAnsi="Calibri"/>
      <w:sz w:val="22"/>
      <w:szCs w:val="22"/>
      <w:lang w:eastAsia="en-US"/>
    </w:rPr>
  </w:style>
  <w:style w:type="character" w:styleId="897" w:customStyle="1">
    <w:name w:val="Нижний колонтитул Знак"/>
    <w:link w:val="748"/>
    <w:rPr>
      <w:rFonts w:ascii="Calibri" w:hAnsi="Calibri"/>
      <w:sz w:val="22"/>
      <w:szCs w:val="22"/>
      <w:lang w:eastAsia="en-US"/>
    </w:rPr>
  </w:style>
  <w:style w:type="paragraph" w:styleId="898" w:customStyle="1">
    <w:name w:val="Без интервала1"/>
    <w:rPr>
      <w:lang w:val="ru-RU"/>
    </w:rPr>
  </w:style>
  <w:style w:type="paragraph" w:styleId="899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0" w:customStyle="1">
    <w:name w:val="docdata"/>
    <w:basedOn w:val="699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23</cp:revision>
  <dcterms:created xsi:type="dcterms:W3CDTF">2022-09-09T06:05:00Z</dcterms:created>
  <dcterms:modified xsi:type="dcterms:W3CDTF">2022-11-27T07:42:03Z</dcterms:modified>
</cp:coreProperties>
</file>