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ind w:left="5670"/>
        <w:jc w:val="left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7"/>
        <w:ind w:left="5670"/>
        <w:jc w:val="left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 24 сесії Менської міської ради 8 скликання</w:t>
      </w:r>
      <w:r/>
    </w:p>
    <w:p>
      <w:pPr>
        <w:pStyle w:val="837"/>
        <w:ind w:left="5670"/>
        <w:jc w:val="left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жовтня 2022 року № 360</w:t>
      </w:r>
      <w:r/>
    </w:p>
    <w:p>
      <w:pPr>
        <w:pStyle w:val="837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7"/>
        <w:ind w:left="0"/>
        <w:jc w:val="center"/>
        <w:spacing w:after="0"/>
        <w:tabs>
          <w:tab w:val="left" w:pos="402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ІНФОРМАЦІЙНА КАРТКА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адміністративної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</w:pPr>
      <w:r/>
      <w:bookmarkStart w:id="1" w:name="_Hlk115159630"/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ВИДАЧА ВИТЯГУ З РЕЄСТРУ ТЕРИТОРІАЛЬНОЇ ГРОМАДИ</w:t>
      </w:r>
      <w:bookmarkEnd w:id="1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Відділ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«Центр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» 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 w:eastAsia="ru-RU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Старости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старостинських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tbl>
      <w:tblPr>
        <w:tblW w:w="9641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2484"/>
        <w:gridCol w:w="50"/>
        <w:gridCol w:w="494"/>
        <w:gridCol w:w="6026"/>
        <w:gridCol w:w="7"/>
      </w:tblGrid>
      <w:tr>
        <w:trPr>
          <w:trHeight w:val="262"/>
        </w:trPr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6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trHeight w:val="1630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33" w:type="dxa"/>
            <w:vAlign w:val="center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t xml:space="preserve"> </w:t>
            </w: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33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</w:t>
            </w:r>
            <w:r/>
          </w:p>
          <w:p>
            <w:pPr>
              <w:pStyle w:val="841"/>
              <w:rPr>
                <w:rFonts w:ascii="Times New Roman" w:hAnsi="Times New Roman" w:eastAsia="Calibri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15641 с. </w:t>
            </w:r>
            <w:r>
              <w:t xml:space="preserve">Величківка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25 «б»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15632, с. </w:t>
            </w:r>
            <w:r>
              <w:t xml:space="preserve">Волосківці</w:t>
            </w:r>
            <w:r>
              <w:t xml:space="preserve"> </w:t>
            </w:r>
            <w:r>
              <w:t xml:space="preserve">вул</w:t>
            </w:r>
            <w:r>
              <w:t xml:space="preserve">. 1 </w:t>
            </w:r>
            <w:r>
              <w:t xml:space="preserve">Травня</w:t>
            </w:r>
            <w:r>
              <w:t xml:space="preserve"> № 41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15631, с. Городище </w:t>
            </w:r>
            <w:r>
              <w:t xml:space="preserve">вул</w:t>
            </w:r>
            <w:r>
              <w:t xml:space="preserve">. Шевченка № 73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15640 с. </w:t>
            </w:r>
            <w:r>
              <w:t xml:space="preserve">Киселівка</w:t>
            </w:r>
            <w:r>
              <w:t xml:space="preserve">, </w:t>
            </w:r>
            <w:r>
              <w:t xml:space="preserve">вул</w:t>
            </w:r>
            <w:r>
              <w:t xml:space="preserve">. Осипенка № 39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15655 с. </w:t>
            </w:r>
            <w:r>
              <w:t xml:space="preserve">Куковичі</w:t>
            </w:r>
            <w:r>
              <w:t xml:space="preserve">, </w:t>
            </w:r>
            <w:r>
              <w:t xml:space="preserve">вул</w:t>
            </w:r>
            <w:r>
              <w:t xml:space="preserve">. Миру № 36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15672 с </w:t>
            </w:r>
            <w:r>
              <w:t xml:space="preserve">Ліски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34 «а»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15652 </w:t>
            </w:r>
            <w:r>
              <w:t xml:space="preserve">смт</w:t>
            </w:r>
            <w:r>
              <w:t xml:space="preserve">. </w:t>
            </w:r>
            <w:r>
              <w:t xml:space="preserve">Макошине</w:t>
            </w:r>
            <w:r>
              <w:t xml:space="preserve">, </w:t>
            </w:r>
            <w:r>
              <w:t xml:space="preserve">вул</w:t>
            </w:r>
            <w:r>
              <w:t xml:space="preserve">. Центральна № 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15673 с. </w:t>
            </w:r>
            <w:r>
              <w:t xml:space="preserve">Осьмаки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60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15650, с. </w:t>
            </w:r>
            <w:r>
              <w:t xml:space="preserve">Покровське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Колгоспна</w:t>
            </w:r>
            <w:r>
              <w:t xml:space="preserve"> № 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15643 с. </w:t>
            </w:r>
            <w:r>
              <w:t xml:space="preserve">Садове</w:t>
            </w:r>
            <w:r>
              <w:t xml:space="preserve">, </w:t>
            </w:r>
            <w:r>
              <w:t xml:space="preserve">вул</w:t>
            </w:r>
            <w:r>
              <w:t xml:space="preserve">. Перемоги № 2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15662 с. </w:t>
            </w:r>
            <w:r>
              <w:t xml:space="preserve">Семенівка</w:t>
            </w:r>
            <w:r>
              <w:t xml:space="preserve"> </w:t>
            </w:r>
            <w:r>
              <w:t xml:space="preserve">вул</w:t>
            </w:r>
            <w:r>
              <w:t xml:space="preserve">. Перемоги № 9 «а»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15630 с. Синявка, </w:t>
            </w:r>
            <w:r>
              <w:t xml:space="preserve">вул</w:t>
            </w:r>
            <w:r>
              <w:t xml:space="preserve">. </w:t>
            </w:r>
            <w:r>
              <w:t xml:space="preserve">Героїв</w:t>
            </w:r>
            <w:r>
              <w:t xml:space="preserve"> </w:t>
            </w:r>
            <w:r>
              <w:t xml:space="preserve">України</w:t>
            </w:r>
            <w:r>
              <w:t xml:space="preserve"> № 91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15651 с. </w:t>
            </w:r>
            <w:r>
              <w:t xml:space="preserve">Слобідка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Братів</w:t>
            </w:r>
            <w:r>
              <w:t xml:space="preserve"> </w:t>
            </w:r>
            <w:r>
              <w:t xml:space="preserve">Федоренків</w:t>
            </w:r>
            <w:r>
              <w:t xml:space="preserve"> № 26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15661 с. </w:t>
            </w:r>
            <w:r>
              <w:t xml:space="preserve">Стольне</w:t>
            </w:r>
            <w:r>
              <w:t xml:space="preserve">, </w:t>
            </w:r>
            <w:r>
              <w:t xml:space="preserve">вул</w:t>
            </w:r>
            <w:r>
              <w:t xml:space="preserve">. Миру № 10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15676 с. </w:t>
            </w:r>
            <w:r>
              <w:t xml:space="preserve">Ушня</w:t>
            </w:r>
            <w:r>
              <w:t xml:space="preserve">, </w:t>
            </w:r>
            <w:r>
              <w:t xml:space="preserve">пров</w:t>
            </w:r>
            <w:r>
              <w:t xml:space="preserve">. </w:t>
            </w:r>
            <w:r>
              <w:t xml:space="preserve">Шкільний</w:t>
            </w:r>
            <w:r>
              <w:t xml:space="preserve"> № 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15671 с. </w:t>
            </w:r>
            <w:r>
              <w:t xml:space="preserve">Феськівка</w:t>
            </w:r>
            <w:r>
              <w:t xml:space="preserve">, </w:t>
            </w:r>
            <w:r>
              <w:t xml:space="preserve">вул</w:t>
            </w:r>
            <w:r>
              <w:t xml:space="preserve">. Миру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часу прийому суб’єктів звернень суб’єктом надання адміністративної послуги 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33" w:type="dxa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Вихідні                          субота, неділя  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0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33" w:type="dxa"/>
            <w:textDirection w:val="lrTb"/>
            <w:noWrap w:val="false"/>
          </w:tcPr>
          <w:p>
            <w:pPr>
              <w:pStyle w:val="839"/>
              <w:spacing w:after="0" w:afterAutospacing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Тел</w:t>
            </w:r>
            <w:r>
              <w:rPr>
                <w:bCs/>
                <w:lang w:val="uk-UA"/>
              </w:rPr>
              <w:t xml:space="preserve">./факс:</w:t>
            </w:r>
            <w:r>
              <w:rPr>
                <w:lang w:val="uk-UA"/>
              </w:rPr>
              <w:t xml:space="preserve"> (04644) 2-16-81, (093)3836292</w:t>
            </w:r>
            <w:r/>
          </w:p>
          <w:p>
            <w:pPr>
              <w:pStyle w:val="84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e-mail:</w:t>
            </w:r>
            <w:hyperlink r:id="rId10" w:tooltip="mailto:cnapradamena@cg.gov.ua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cnapradamena@cg.gov.ua</w:t>
              </w:r>
            </w:hyperlink>
            <w:r/>
            <w:r/>
          </w:p>
          <w:p>
            <w:pPr>
              <w:pStyle w:val="841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Веб-сайт: </w:t>
            </w:r>
            <w:hyperlink r:id="rId11" w:tooltip="http://mena.cg.gov.ua/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http://mena.cg.gov.ua/</w:t>
              </w:r>
            </w:hyperlink>
            <w:r/>
            <w:r/>
          </w:p>
        </w:tc>
      </w:tr>
      <w:tr>
        <w:trPr>
          <w:trHeight w:val="615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6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якими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регламентується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порядок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публічних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електронних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Постанова КМУ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Деякі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декларування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ведення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територіальних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громад»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07.02.2022р. №265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6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Умови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одержання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Вичерпний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громадянина України або інший документ.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Свідоцтв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народження дітей.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разі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додатково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подається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документ,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підтверджує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повноваження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.</w:t>
            </w:r>
            <w:r/>
          </w:p>
          <w:p>
            <w:pPr>
              <w:ind w:firstLine="686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Порядок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одержання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звертається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до органу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через центр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повноваження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поширюється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адміністративно-територіальну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одиницю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4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Платність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7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3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tabs>
                <w:tab w:val="left" w:pos="11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 день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безпосереднього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особи     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3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підстав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документів необхідних для отримання послуги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задеклароване/зареєстроване місце проживання особи на території на яку не поширюються повноваження органу 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3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Результат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Витяг з реєстру територіальної громади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           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53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відповіді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(результату)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Особисто, в тому числі через представника за довіреністю (з посвідченням особи).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/>
    </w:p>
    <w:p>
      <w:pPr>
        <w:shd w:val="nil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  <w:br w:type="page"/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ТЕХНОЛОГІЧНА КАРТКА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адміністративної послуги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ВИДАЧА ВИТЯГУ З РЕЄСТРУ ТЕРИТОРІАЛЬНОЇ ГРОМАДИ</w:t>
      </w:r>
      <w:r/>
    </w:p>
    <w:tbl>
      <w:tblPr>
        <w:tblW w:w="9632" w:type="dxa"/>
        <w:tblInd w:w="-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2274"/>
        <w:gridCol w:w="182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опрацювання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особа в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залежності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звернувся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заявник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Строк виконання</w:t>
            </w:r>
            <w:r/>
          </w:p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етапів (днів)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Прийом документів, що подаються заявником для отримання витягу з реєстру територіальної громади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/>
            <w:bookmarkStart w:id="2" w:name="_Hlk86330702"/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Перевірка правильності   поданих заявником документів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bookmarkEnd w:id="2"/>
            <w:r/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Прийняття рішення  про видачу </w:t>
            </w: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витягу</w:t>
            </w: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 або про відмову у видачі </w:t>
            </w: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витягу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Реєстрація витягу з реєстру територіальної громади  у журналі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обліку/реєстрації заяв та документів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Формування і внесення даних про реєстрацію місця проживання особи до реєстру територіальної громади, у разі їх відсутності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77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fill="FFFFFF" w:color="auto"/>
              </w:rPr>
              <w:t xml:space="preserve">Видача витягу з реєстру територіальної громади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182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день звернення</w:t>
            </w:r>
            <w:r/>
          </w:p>
        </w:tc>
      </w:tr>
      <w:tr>
        <w:trPr>
          <w:trHeight w:val="4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Оскарження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встановленому порядку</w:t>
            </w:r>
            <w:r/>
          </w:p>
        </w:tc>
      </w:tr>
    </w:tbl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r>
      <w:r/>
    </w:p>
    <w:p>
      <w:pPr>
        <w:shd w:val="nil"/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ІН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РМ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Ц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І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Й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адміністративної послуги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ВИДАЧА ДОВІДКИ ПРО ВЗЯТТЯ НА ОБЛІК ВНУТРІШНЬО ПЕРЕМІЩЕНОЇ ОСОБИ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Відділ «Центр надання адміністративних послуг»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3" w:name="_Hlk86307755"/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старостинських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tbl>
      <w:tblPr>
        <w:tblW w:w="966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42"/>
        <w:gridCol w:w="5572"/>
        <w:gridCol w:w="10"/>
        <w:gridCol w:w="15"/>
      </w:tblGrid>
      <w:tr>
        <w:trPr/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bookmarkStart w:id="4" w:name="_Hlk86307777"/>
            <w:r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gridAfter w:val="1"/>
          <w:trHeight w:val="1630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t xml:space="preserve"> </w:t>
            </w: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 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м. 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Чернігівська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pStyle w:val="841"/>
              <w:rPr>
                <w:rFonts w:ascii="Times New Roman" w:hAnsi="Times New Roman" w:eastAsia="Calibri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15641 с. </w:t>
            </w:r>
            <w:r>
              <w:t xml:space="preserve">Величківка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25 «б»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15632, с. </w:t>
            </w:r>
            <w:r>
              <w:t xml:space="preserve">Волосківці</w:t>
            </w:r>
            <w:r>
              <w:t xml:space="preserve"> </w:t>
            </w:r>
            <w:r>
              <w:t xml:space="preserve">вул</w:t>
            </w:r>
            <w:r>
              <w:t xml:space="preserve">. 1 </w:t>
            </w:r>
            <w:r>
              <w:t xml:space="preserve">Травня</w:t>
            </w:r>
            <w:r>
              <w:t xml:space="preserve"> № 41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15631, с. Городище </w:t>
            </w:r>
            <w:r>
              <w:t xml:space="preserve">вул</w:t>
            </w:r>
            <w:r>
              <w:t xml:space="preserve">. Шевченка № 73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15640 с. </w:t>
            </w:r>
            <w:r>
              <w:t xml:space="preserve">Киселівка</w:t>
            </w:r>
            <w:r>
              <w:t xml:space="preserve">, </w:t>
            </w:r>
            <w:r>
              <w:t xml:space="preserve">вул</w:t>
            </w:r>
            <w:r>
              <w:t xml:space="preserve">. Осипенка № 39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15655 с. </w:t>
            </w:r>
            <w:r>
              <w:t xml:space="preserve">Куковичі</w:t>
            </w:r>
            <w:r>
              <w:t xml:space="preserve">, </w:t>
            </w:r>
            <w:r>
              <w:t xml:space="preserve">вул</w:t>
            </w:r>
            <w:r>
              <w:t xml:space="preserve">. Миру № 36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15672 с </w:t>
            </w:r>
            <w:r>
              <w:t xml:space="preserve">Ліски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34 «а»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15652 </w:t>
            </w:r>
            <w:r>
              <w:t xml:space="preserve">смт</w:t>
            </w:r>
            <w:r>
              <w:t xml:space="preserve">. </w:t>
            </w:r>
            <w:r>
              <w:t xml:space="preserve">Макошине</w:t>
            </w:r>
            <w:r>
              <w:t xml:space="preserve">, </w:t>
            </w:r>
            <w:r>
              <w:t xml:space="preserve">вул</w:t>
            </w:r>
            <w:r>
              <w:t xml:space="preserve">. Центральна № 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15673 с. </w:t>
            </w:r>
            <w:r>
              <w:t xml:space="preserve">Осьмаки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60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15650, с. </w:t>
            </w:r>
            <w:r>
              <w:t xml:space="preserve">Покровське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Колгоспна</w:t>
            </w:r>
            <w:r>
              <w:t xml:space="preserve"> № 3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15643 с. </w:t>
            </w:r>
            <w:r>
              <w:t xml:space="preserve">Садове</w:t>
            </w:r>
            <w:r>
              <w:t xml:space="preserve">, </w:t>
            </w:r>
            <w:r>
              <w:t xml:space="preserve">вул</w:t>
            </w:r>
            <w:r>
              <w:t xml:space="preserve">. Перемоги № 2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15662 с. </w:t>
            </w:r>
            <w:r>
              <w:t xml:space="preserve">Семенівка</w:t>
            </w:r>
            <w:r>
              <w:t xml:space="preserve"> </w:t>
            </w:r>
            <w:r>
              <w:t xml:space="preserve">вул</w:t>
            </w:r>
            <w:r>
              <w:t xml:space="preserve">. Перемоги № 9 «а»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15630 с. Синявка, </w:t>
            </w:r>
            <w:r>
              <w:t xml:space="preserve">вул</w:t>
            </w:r>
            <w:r>
              <w:t xml:space="preserve">. </w:t>
            </w:r>
            <w:r>
              <w:t xml:space="preserve">Героїв</w:t>
            </w:r>
            <w:r>
              <w:t xml:space="preserve"> </w:t>
            </w:r>
            <w:r>
              <w:t xml:space="preserve">України</w:t>
            </w:r>
            <w:r>
              <w:t xml:space="preserve"> № 91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15651 с. </w:t>
            </w:r>
            <w:r>
              <w:t xml:space="preserve">Слобідка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Братів</w:t>
            </w:r>
            <w:r>
              <w:t xml:space="preserve"> </w:t>
            </w:r>
            <w:r>
              <w:t xml:space="preserve">Федоренків</w:t>
            </w:r>
            <w:r>
              <w:t xml:space="preserve"> № 26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15661 с. </w:t>
            </w:r>
            <w:r>
              <w:t xml:space="preserve">Стольне</w:t>
            </w:r>
            <w:r>
              <w:t xml:space="preserve">, </w:t>
            </w:r>
            <w:r>
              <w:t xml:space="preserve">вул</w:t>
            </w:r>
            <w:r>
              <w:t xml:space="preserve">. Миру № 10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15676 с. </w:t>
            </w:r>
            <w:r>
              <w:t xml:space="preserve">Ушня</w:t>
            </w:r>
            <w:r>
              <w:t xml:space="preserve">, </w:t>
            </w:r>
            <w:r>
              <w:t xml:space="preserve">пров</w:t>
            </w:r>
            <w:r>
              <w:t xml:space="preserve">. </w:t>
            </w:r>
            <w:r>
              <w:t xml:space="preserve">Шкільний</w:t>
            </w:r>
            <w:r>
              <w:t xml:space="preserve"> № 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15671 с. </w:t>
            </w:r>
            <w:r>
              <w:t xml:space="preserve">Феськівка</w:t>
            </w:r>
            <w:r>
              <w:t xml:space="preserve">, </w:t>
            </w:r>
            <w:r>
              <w:t xml:space="preserve">вул</w:t>
            </w:r>
            <w:r>
              <w:t xml:space="preserve">. Миру № 25 «а»</w:t>
            </w:r>
            <w:r/>
          </w:p>
        </w:tc>
      </w:tr>
      <w:tr>
        <w:trPr>
          <w:gridAfter w:val="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часу прийому суб’єктів звернень суб’єктом надання адміністративної послуги 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4" w:type="dxa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Вихідні                          субота, неділя   </w:t>
            </w:r>
            <w:r/>
          </w:p>
        </w:tc>
      </w:tr>
      <w:tr>
        <w:trPr>
          <w:gridAfter w:val="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4" w:type="dxa"/>
            <w:textDirection w:val="lrTb"/>
            <w:noWrap w:val="false"/>
          </w:tcPr>
          <w:p>
            <w:pPr>
              <w:pStyle w:val="839"/>
              <w:spacing w:after="0" w:afterAutospacing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Тел</w:t>
            </w:r>
            <w:r>
              <w:rPr>
                <w:bCs/>
                <w:lang w:val="uk-UA"/>
              </w:rPr>
              <w:t xml:space="preserve">./факс:</w:t>
            </w:r>
            <w:r>
              <w:rPr>
                <w:lang w:val="uk-UA"/>
              </w:rPr>
              <w:t xml:space="preserve"> (04644) 2-16-81, (093)3836292</w:t>
            </w:r>
            <w:r/>
          </w:p>
          <w:p>
            <w:pPr>
              <w:pStyle w:val="84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e-mail:</w:t>
            </w:r>
            <w:hyperlink r:id="rId12" w:tooltip="mailto:cnapradamena@cg.gov.ua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cnapradamena@cg.gov.ua</w:t>
              </w:r>
            </w:hyperlink>
            <w:r/>
            <w:r/>
          </w:p>
          <w:p>
            <w:pPr>
              <w:pStyle w:val="841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Веб-сайт: </w:t>
            </w:r>
            <w:hyperlink r:id="rId13" w:tooltip="http://mena.cg.gov.ua/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http://mena.cg.gov.ua/</w:t>
              </w:r>
            </w:hyperlink>
            <w:r/>
            <w:bookmarkEnd w:id="4"/>
            <w:r/>
            <w:r/>
          </w:p>
        </w:tc>
      </w:tr>
      <w:tr>
        <w:trPr>
          <w:trHeight w:val="615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6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Нормативні акти, якими регламентується порядок та умови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Закони України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 „Про забезпечення прав і свобод внутрішньо переміщених осіб” від 20.10.2014 № 1706-VII (далі – Закон)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Акти Кабінету Міністрів України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Постанова Кабінету Міністрів України від 01.10.2014 № 509 „Про облік внутрішньо переміщених осіб” (зі змінами) (далі – постанова № 509)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Розпорядження Кабінету Міністрів України від 06.03.2022 № 204-р „Про затвердження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переліку адміністративно-територіальних одиниць, на території яких надається допомога застрахованим особам в рамках Програми „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єПідтримка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” (далі – розпорядження № 204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667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Підстава для отримання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 отримання довідки про взяття на облік внутрішньо переміщеної особи (далі – довідка) мають право: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особи, які перемістились з тимчасово окупованих територій у Донецькій та Луганській областях, Автономній Республіці Крим і м. Севастополі, населених пунктів, на території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яких органи державної влади тимчасово не здійснюють свої повноваження, та населених пунктів, розташованих на лінії зіткнення;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особи, які відбували (відбувають) покар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ання у місцях позбавлення волі та мали (мають) зареєстроване місце проживання на території, де виникли обставини, зазначені у статті 1 Закону, на дату їх виникнення, після звільнення, якщо такі особи не бажають повертатися до попереднього місця проживання;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військовослужбовці (крі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 військовослужбовців строкової служби та військової служби за призовом осіб офіцерського складу), які проходили військову службу та мали зареєстроване місце проживання на території, де виникли обставини, зазначені у статті 1 Закону, на дату їх виникнення;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студенти, учні професійних (професійно-технічних) закладів освіти, які перемістилися з тимчасово окупо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ваних територій у Донецькій та Луганській областях, Автономній Республіці Крим і м. Севастополі, населених пунктів, на території яких органи державної влади тимчасово не здійснюють свої повноваження, та населених пунктів, що розташовані на лінії зіткнення;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студенти, які здобували певний освітньо-кваліфікаційний рівень і мали реєстрацію місця проживання в гуртожитках, після зняття з реєстрації, якщо вони не бажають повертатися до попереднього місця проживання через обставини, зазначені у статті 1 Закону;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особи, житлові приміщення яких зруйновані або стали непридатними для проживанн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 внаслідок проведення антитерористичної операції або здійснення заходів із забезпечення національної безпеки і оборони, відсічі і стримування збройної агресії Російської Федерації, що підтверджується відповідним актом обстеження технічного стану житлового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приміщення (будинку, квартири), та неповнолітні діти, які отримали паспорт громадянина України, незалежно від наявності (відсутності) реєстрації місця проживання, якщо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інформацію про них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внесено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 Єдиної інформаційної бази даних про внутрішньо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переміщених осіб;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особи, які після введення Указом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Президента України від 24.02.2022 № 64 „Про введення воєнного стану в Україні” воєнного стану перемістилися з території адміністративно- територіальної одиниці, на якій проводяться бойові дії та яка визначена в переліку, затвердженому розпорядженням № 204;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особи, задеклароване / зареєстроване місце проживання яких розташоване поза межами території адміністративно-територіальної одиниці, на якій проводяться бойові дії та яка визначена в переліку, затвердженому розпорядженням № 204, якщо такі особи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перебувають на обліку як платники єдиного внеску на загальнообов’язкове державне соціальне страхування на території адміністративно-територіальної одиниці, на якій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проводяться бойові дії та яка визначена в переліку, затвердженому розпорядженням № 204, сплатили або за яких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сплачено роботодавц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ем єдиний внесок на загальнообов’язкове державне соціальне страхування за IV квартал 2021 р. або за 2021 рік на території адміністративно-територіальної одиниці, на якій проводяться бойові дії та яка визначена в переліку, затвердженому розпорядженням № 204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отримання довідки: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подається заява про взяття на облік за формою згідно з додатком 1 до Порядку оформлення і видачі довідки про взяття на облік внутрішньо переміщеної особи, затвердженого постановою № 509 (далі – Порядок);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пред’являється документ, що посвідчує особу та підтверджує громадянство України, або документ, що посвідчує особу та підтверджує її спеціальний статус, або свідоцтво про народження дитини. 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разі відсутності в документі, що посвідчує особу та підтверджує громадянство України, або документі, що посвідчує особу та підтверджує її спеціальний статус, відмітки про реєстрацію місця проживання на території адміністративно- територіальної одиниці, з 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кої здійснюється внутрішнє переміщення, заявник надає докази, що підтверджують факт проживання на території адміністративно-територіальної одиниці, з якої здійснюється внутрішнє переміщення, на день виникнення обставин, що спричинили внутрішнє переміщення.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разі подання заяви про взяття на облік законним представником особи, від імені якої подається заява, додатково подаються: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документ, що посвідчує особу законного представника;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документ, що підтверджує повноваження особи як законного представника, крім випадків, коли законними представниками є батьки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усиновлювачі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разі потреби – свідоцтво про народження дитини.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разі подання заяви про взяття на облік малолітньої дитини особою, зазначеною в абзацах сьомому – десятому пункту 2 Порядку, додатково подаються: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документ, що посвідчує особу заявника;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документи, що підтверджують родинні стосунки між дитиною та заявником;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документ, що підтверджує повноваження представни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 органу опіки та піклування або керівника дитячого закладу, закладу охорони здоров’я або закладу соціального захисту дітей, в якому дитина перебуває на повному державному забезпеченні, та документ, що підтверджує факт зарахування дитини до такого закладу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разі подання заяви в електронній формі через Єдиний державний веб-портал електронних послуг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„Портал Дія” (далі – Портал Дія), у тому числі мобільний додаток Порталу Дія, складення та/або подання будь-яких інших заяв, документів чи відомостей для отримання довідки не вимагається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Спосіб подання документів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отримання довідки повнолітня або неповнолітня внутрішньо переміщена особа звертається особисто, а малолітня дитина, недієздатна особ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 або особа, дієздатність якої обмежена, – через законного представника до структурного підрозділу з питань соціального захисту населення районних, районних у м. Києві держадміністрацій, виконавчих органів міських, районних у містах (у разі утворення) рад.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особою, яка одержала реєстраційний номер облікової картки платника податків.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інформації, що міститься у свідоцтві про народження таких дітей, виготовленому на паперовому бланку.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період дії воєнного стану внутрішньо переміщена особа для отримання довідки може звернутися до уповноваженої особи виконавчого органу сільської, селищної, міської ради або центру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Платність (безоплатність)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надання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Адміністративна послуга надається безоплатно.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Строк надання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У день подання заяви; у разі відсутності в документі, що посвідчує особу та підтверджує громадянство України, або документі, що посвідчує особу та підтверджує її спеціальний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статус, відмітки про реєстрацію місця проживання на території адміністративно- територіальної одиниці, з якої здійснюється внутрішнє переміщення, – не пізніше ніж через 15 робочих днів після подання заяви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 підстав відмови у наданні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Заявнику може бути відмовлено у видачі довідки у разі, коли: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відсутні обставини, що спричинили внутрішнє переміщення;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державних органів наявні відомості про подання завідомо неправдивих відомостей для отримання довідки;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заявник втратив документи, що посвідчують особу (до їх відновлення);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документі заявника, що посвідчує особу та підтверджує громадянство України, або документі, що посвідчує особу та підтверджує її спеціальний статус, немає відмітки про реєстрацію місця проживання на території адміністративно-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територіальної одиниці, з якої здійснюється внутрішнє переміщення, та відсутні докази, що підтверджують факт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проживання на території адміністративно-територіальної одиниці, з якої здійснюється внутрішнє переміщення;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докази, надані заявником для підтвердження факту проживання на території адміністративно-територіальної одиниці, з якої здійснюється внутрішнє переміщення, не підтверджують такого факту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Результат надання адміністративної послуги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Видача довідки / рішення про відмову у видачі довідки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1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Способи отримання відповіді (результату)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Отримати довідку заявник або його законний представник може особисто.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щеної особи за її запитом шляхом використання інформації,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Внутрішньо переміщена особа, яка подала заяву в електронній формі через Портал Дія, зокрема мобільний додаток Порталу Дія, після включення відомостей про неї до Єдиної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нформаційної бази даних про внутрішньо переміщених осіб може звернутися до уповноваженого органу або уповноваженої особи територіальної громади / центру надання адміністративних послуг за місцем перебування на обліку для отримання довідки у паперовій формі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nil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  <w:br w:type="page"/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ТЕХНОЛОГІЧНА КАРТКА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адміністративної послуги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val="ru-RU" w:eastAsia="ru-RU"/>
        </w:rPr>
        <w:t xml:space="preserve">ВИДАЧА ДОВІДКИ ПРО ВЗЯТТЯ НА ОБЛІК ВНУТРІШНЬО ПЕРЕМІЩЕНОЇ ОСОБИ</w:t>
      </w:r>
      <w:r/>
    </w:p>
    <w:tbl>
      <w:tblPr>
        <w:tblW w:w="9798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2274"/>
        <w:gridCol w:w="227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опрацювання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особа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залежності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звернувся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заявник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Строк виконання</w:t>
            </w:r>
            <w:r/>
          </w:p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етапів (днів)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Прийом заяви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документів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Реєстрація заяви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внесенння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даних до ПК «Соціальна громада»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Перевірка поданих заявником документів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Прийняття рішення про  видачу довідки або про відмову у  видачі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 (у разі відмови – не пізніше ніж через 15 робочих днів після подання заяви)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W w:w="439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Видача довідки/рішення про відмову у видачі довідки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 (у разі відмови – не пізніше ніж через 15 робочих днів після подання заяви)</w:t>
            </w:r>
            <w:r/>
          </w:p>
        </w:tc>
      </w:tr>
    </w:tbl>
    <w:p>
      <w:pPr>
        <w:ind w:right="448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  <w:t xml:space="preserve">                      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ru-RU"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  <w:t xml:space="preserve">                      </w:t>
      </w:r>
      <w:r/>
    </w:p>
    <w:p>
      <w:pPr>
        <w:shd w:val="nil"/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-3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ІН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РМ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Ц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І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Й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адміністративної послуги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ВИЗНАЧЕННЯ ОБСЯГУ КОМПЕНСАЦІЇ ВИТРАТ ВЛАСНИКА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ЖИЛОГО ПРИМІЩЕННЯ, ЩО ПОВ'ЯЗАНІ З БЕЗОПЛАТНИМ РОЗМІЩЕННЯМ ВНУТРІШНЬО ПЕРЕМІЩЕНИХ ОСІБ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Відділ «Центр надання адміністративних послуг»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старостинських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округів Менської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tbl>
      <w:tblPr>
        <w:tblW w:w="992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2822"/>
        <w:gridCol w:w="10"/>
        <w:gridCol w:w="217"/>
        <w:gridCol w:w="6000"/>
        <w:gridCol w:w="7"/>
        <w:gridCol w:w="11"/>
        <w:gridCol w:w="7"/>
      </w:tblGrid>
      <w:tr>
        <w:trPr/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trHeight w:val="1630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 суб’єкта надання адміністративної послуги  в якому здійснюється обслуговування суб’єкта звернення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0" w:type="dxa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0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м. 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Чернігівська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pStyle w:val="841"/>
              <w:rPr>
                <w:rFonts w:ascii="Times New Roman" w:hAnsi="Times New Roman" w:eastAsia="Calibri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839"/>
              <w:spacing w:after="0" w:afterAutospacing="0" w:before="0" w:beforeAutospacing="0"/>
            </w:pPr>
            <w:r>
              <w:t xml:space="preserve">15643 с. </w:t>
            </w:r>
            <w:r>
              <w:t xml:space="preserve">Садове</w:t>
            </w:r>
            <w:r>
              <w:t xml:space="preserve">, </w:t>
            </w:r>
            <w:r>
              <w:t xml:space="preserve">вул</w:t>
            </w:r>
            <w:r>
              <w:t xml:space="preserve">. Перемоги № 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часу прийому суб’єктів звернень суб’єктом надання адміністративної послуги  </w:t>
            </w:r>
            <w:r/>
          </w:p>
        </w:tc>
        <w:tc>
          <w:tcPr>
            <w:gridSpan w:val="5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С</w:t>
            </w:r>
            <w:r>
              <w:rPr>
                <w:lang w:val="uk-UA"/>
              </w:rPr>
              <w:t xml:space="preserve">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83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Вихідні                          субота, неділя  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</w:t>
            </w:r>
            <w:r/>
          </w:p>
        </w:tc>
        <w:tc>
          <w:tcPr>
            <w:gridSpan w:val="5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pStyle w:val="839"/>
              <w:spacing w:after="0" w:afterAutospacing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Тел</w:t>
            </w:r>
            <w:r>
              <w:rPr>
                <w:bCs/>
                <w:lang w:val="uk-UA"/>
              </w:rPr>
              <w:t xml:space="preserve">./факс:</w:t>
            </w:r>
            <w:r>
              <w:rPr>
                <w:lang w:val="uk-UA"/>
              </w:rPr>
              <w:t xml:space="preserve"> (04644) 2-16-81, (093)3836292</w:t>
            </w:r>
            <w:r/>
          </w:p>
          <w:p>
            <w:pPr>
              <w:pStyle w:val="84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e-mail:</w:t>
            </w:r>
            <w:hyperlink r:id="rId14" w:tooltip="mailto:cnapradamena@cg.gov.ua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cnapradamena@cg.gov.ua</w:t>
              </w:r>
            </w:hyperlink>
            <w:r/>
            <w:r/>
          </w:p>
          <w:p>
            <w:pPr>
              <w:pStyle w:val="841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Веб-сайт: </w:t>
            </w:r>
            <w:hyperlink r:id="rId15" w:tooltip="http://mena.cg.gov.ua/" w:history="1">
              <w:r>
                <w:rPr>
                  <w:rStyle w:val="840"/>
                  <w:rFonts w:ascii="Times New Roman" w:hAnsi="Times New Roman"/>
                  <w:iCs/>
                  <w:sz w:val="24"/>
                  <w:szCs w:val="24"/>
                  <w:lang w:val="uk-UA"/>
                </w:rPr>
                <w:t xml:space="preserve">http://mena.cg.gov.ua/</w:t>
              </w:r>
            </w:hyperlink>
            <w:r/>
            <w:r/>
          </w:p>
        </w:tc>
      </w:tr>
      <w:tr>
        <w:trPr>
          <w:gridAfter w:val="3"/>
          <w:trHeight w:val="6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Нормативні акти, якими регламентується порядок та умови надання адміністративної послуги</w:t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України «Про місцеве самоврядування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Україні» від 21.05.1997 № 280/97-ВР;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 «Про звернення громадян» 02.10.1996 № 393/96-ВР;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Закон 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«Про адміністративні послуги» від 06.09.2012 № 5203-VI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Акти Кабінету Міністрів 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Постанова КМУ 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19.03.2022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№333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«Про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атвердження Порядку компенсації витрат за тимчасове розміщення внутрішньо переміщених осіб,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18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Умови отримання адміністративної послуги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Підстава для отримання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Компенсація надається фізичним особам - громадянам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тлових приміщеннях  внутрішньо переміщених осіб, крім членів своєї сім’ї у розумінні Сімейного кодексу України (далі - особи, що розмістили внутрішньо переміщених осіб), для покриття витрат, пов’язаних з безоплатним розміщенням внутрішньо переміщених осіб.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етап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Розгляд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повідомлень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 безоплатне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розміщення внутрішньо переміщених осіб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Власник жилого приміщення зобов’язаний не пізніше наступного дня з дня розміщення внутрішньо переміщених осіб подати: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Повідомлення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встановленої форми.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 етап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Припинення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розміщення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або зміни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внутрішньо переміщених осіб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Власник жилого приміщення зобов’язаний в день припинення розміщення внутрішньо переміщених осіб подати: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Повідомлення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встановленої форми.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ІІІ етап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Визначення обсягу компенсації витрат власника жилого приміщення, що пов'язані з безоплатним розміщенням внутрішньо переміщених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осіб.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Власник жилого приміщення не пізніше п'яти днів з дня закінчення звітного місяця подає: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1.Заяву встановленої форми.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поданні повідомлення про розміщення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особа, що розмістила внутрішньо переміщених осіб, пред’являє адміністратору ЦНАП для сканування: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документ, який посвідчує його особу;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документ, що підтверджує право власності або користування житловим приміщенням, або документа, що підтверджує повноваження представника власника. У разі подання заяви в електронній формі до такої заяви додаються електронні копії (фотокопії):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документа, який посвідчує особу, що розмістила внутрішньо переміщених осіб;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ab/>
              <w:t xml:space="preserve">документа, що підтверджує право власності або користування житловим приміщенням, або документа, що підтверджує повноваження представника власника.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Спосіб подання документів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Оригінали документів пред’являються заявником особисто або уповноваженою особою по нотаріально посвідченій довіреності в ЦНАП та після сканування адміністратором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повертаються суб’єкту звернення.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пред’явлені документів по довіреності необхідно надати для сканування оригінали довіреності та документів, що посвідчують особу на яку оформлена довіреність.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Заяви можуть бути подані в паперовій формі або в електронній формі на електронну адресу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відділу ЦНАП.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Платність (безоплатність)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надання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Адміністративна послуга надається безоплатно.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Строк надання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 робочих днів після подання заяви про отримання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компенсації.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Перелік підстав відмови у наданні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Подання в заяві недостовірної інформації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Результат надання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І етап – не потребує письмової відповіді 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ІІ етап – не потребує письмової відповіді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ІІІ етап – усне повідомлення заявнику щодо визначеного обсягу компенсації</w:t>
            </w:r>
            <w:r/>
          </w:p>
        </w:tc>
      </w:tr>
      <w:tr>
        <w:trPr>
          <w:gridAfter w:val="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04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Способи отримання відповіді (результату)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0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Повідомлення або мотивовану письмову відмову заявник отримує у ЦНАП особисто або через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уповноважену особу на підставі нотаріально посвідченої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nil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  <w:br w:type="page"/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r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ТЕХНОЛОГІЧНА КАРТКА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адміністративної послуги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auto"/>
          <w:lang w:eastAsia="ru-RU"/>
        </w:rPr>
        <w:t xml:space="preserve">ВИЗНАЧЕННЯ ОБСЯГУ КОМПЕНСАЦІЇ ВИТРАТ ВЛАСНИКАМ ЖИЛОГО ПРИМІЩЕННЯ, ЩО ПОВ'ЯЗАНІ З БЕЗОПЛАТНИМ РОЗМІЩЕННЯМ ВНУТРІШНЬО ПЕРЕМІЩЕНИХ ОСІБ</w:t>
      </w:r>
      <w:r/>
    </w:p>
    <w:tbl>
      <w:tblPr>
        <w:tblW w:w="9948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43"/>
        <w:gridCol w:w="2274"/>
        <w:gridCol w:w="227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опрацювання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особа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залежності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звернувся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  <w:t xml:space="preserve">заявник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Строк виконання</w:t>
            </w:r>
            <w:r/>
          </w:p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етапів (днів)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Прийом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повідомлення/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заяви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документів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Реєстрація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повідомлення/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журналі обліку/реєстрації заяв та документів необхідних для отримання адміністративної послуги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Перевірка поданих заявником документів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4.1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несенння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даних до інформаційно-аналітичної системи обліку даних, пов’язаних з компенсацією за тимчасове розміщення (перебування) внутрішньо переміщених осіб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У день 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/протягом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5 робочих днів після подання заяви про отримання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компенсації.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.2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Прийняття рішення про відмову у  </w:t>
            </w:r>
            <w:r>
              <w:t xml:space="preserve"> </w:t>
            </w:r>
            <w: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несеннн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даних до інформаційно-аналітичної системи обліку даних, пов’язаних з компенсацією за тимчасове розміщення (перебування) внутрішньо переміщених осіб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адміністратор ЦНАП, староста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5 робочих днів після подання заяви про отримання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компенсації.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eastAsia="ru-RU"/>
              </w:rPr>
              <w:t xml:space="preserve"> </w:t>
            </w:r>
            <w:r/>
          </w:p>
        </w:tc>
      </w:tr>
    </w:tbl>
    <w:p>
      <w:pPr>
        <w:ind w:right="448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auto"/>
          <w:lang w:val="ru-RU" w:eastAsia="ru-RU"/>
        </w:rPr>
        <w:t xml:space="preserve">                         </w:t>
      </w:r>
      <w:r/>
    </w:p>
    <w:p>
      <w:pPr>
        <w:pStyle w:val="837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37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End w:id="0"/>
      <w:r/>
      <w:r/>
    </w:p>
    <w:p>
      <w:pPr>
        <w:pStyle w:val="837"/>
        <w:ind w:left="-142" w:right="0" w:firstLine="0"/>
        <w:jc w:val="both"/>
        <w:spacing w:after="0" w:afterAutospacing="0" w:before="0" w:beforeAutospacing="0"/>
        <w:rPr>
          <w:color w:val="000000"/>
          <w:highlight w:val="none"/>
        </w:rPr>
      </w:pPr>
      <w:r>
        <w:rPr>
          <w:color w:val="000000"/>
          <w:sz w:val="28"/>
          <w:szCs w:val="28"/>
        </w:rPr>
        <w:t xml:space="preserve">Начальник відділу “Центр надання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-142" w:right="0" w:firstLine="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адміністративних послуг”                                                               Валерій РАЧКОВ</w:t>
      </w:r>
      <w:r>
        <w:rPr>
          <w:color w:val="000000"/>
          <w:sz w:val="28"/>
          <w:szCs w:val="28"/>
        </w:rPr>
      </w:r>
      <w:r/>
    </w:p>
    <w:p>
      <w:pPr>
        <w:pStyle w:val="837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48951667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  <w:sz w:val="24"/>
        <w:szCs w:val="24"/>
      </w:rPr>
    </w:sdtPr>
    <w:sdtContent>
      <w:p>
        <w:pPr>
          <w:pStyle w:val="842"/>
          <w:rPr>
            <w:rFonts w:ascii="Times New Roman" w:hAnsi="Times New Roman" w:cs="Times New Roman"/>
            <w:i/>
            <w:iCs/>
            <w:sz w:val="24"/>
            <w:szCs w:val="24"/>
          </w:rPr>
        </w:pP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                                                                            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                                продовження додатка</w:t>
        </w:r>
        <w:r/>
      </w:p>
    </w:sdtContent>
  </w:sdt>
  <w:p>
    <w:pPr>
      <w:pStyle w:val="84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3"/>
    <w:next w:val="833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4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3"/>
    <w:next w:val="833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4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3"/>
    <w:next w:val="833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4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3"/>
    <w:next w:val="833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4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3"/>
    <w:next w:val="833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4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3"/>
    <w:next w:val="833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3"/>
    <w:next w:val="833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4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3"/>
    <w:next w:val="833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4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3"/>
    <w:next w:val="833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4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Title"/>
    <w:basedOn w:val="833"/>
    <w:next w:val="833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4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42"/>
    <w:uiPriority w:val="99"/>
  </w:style>
  <w:style w:type="character" w:styleId="687">
    <w:name w:val="Footer Char"/>
    <w:basedOn w:val="834"/>
    <w:link w:val="844"/>
    <w:uiPriority w:val="99"/>
  </w:style>
  <w:style w:type="paragraph" w:styleId="688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44"/>
    <w:uiPriority w:val="99"/>
  </w:style>
  <w:style w:type="table" w:styleId="690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 w:customStyle="1">
    <w:name w:val="docdata"/>
    <w:basedOn w:val="83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38" w:customStyle="1">
    <w:name w:val="rvts23"/>
    <w:basedOn w:val="834"/>
    <w:rPr>
      <w:rFonts w:cs="Times New Roman"/>
    </w:rPr>
  </w:style>
  <w:style w:type="paragraph" w:styleId="839">
    <w:name w:val="Normal (Web)"/>
    <w:basedOn w:val="83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0">
    <w:name w:val="Hyperlink"/>
    <w:basedOn w:val="834"/>
    <w:unhideWhenUsed/>
    <w:rPr>
      <w:color w:val="0000FF"/>
      <w:u w:val="single"/>
    </w:rPr>
  </w:style>
  <w:style w:type="paragraph" w:styleId="841">
    <w:name w:val="No Spacing"/>
    <w:qFormat/>
    <w:uiPriority w:val="1"/>
    <w:rPr>
      <w:rFonts w:ascii="Calibri" w:hAnsi="Calibri" w:cs="Times New Roman" w:eastAsia="Times New Roman"/>
      <w:lang w:val="ru-RU" w:eastAsia="zh-CN"/>
    </w:rPr>
    <w:pPr>
      <w:spacing w:lineRule="auto" w:line="240" w:after="0"/>
    </w:pPr>
  </w:style>
  <w:style w:type="paragraph" w:styleId="842">
    <w:name w:val="Header"/>
    <w:basedOn w:val="833"/>
    <w:link w:val="84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3" w:customStyle="1">
    <w:name w:val="Верхній колонтитул Знак"/>
    <w:basedOn w:val="834"/>
    <w:link w:val="842"/>
    <w:uiPriority w:val="99"/>
  </w:style>
  <w:style w:type="paragraph" w:styleId="844">
    <w:name w:val="Footer"/>
    <w:basedOn w:val="833"/>
    <w:link w:val="84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5" w:customStyle="1">
    <w:name w:val="Нижній колонтитул Знак"/>
    <w:basedOn w:val="834"/>
    <w:link w:val="844"/>
    <w:uiPriority w:val="99"/>
  </w:style>
  <w:style w:type="paragraph" w:styleId="846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7">
    <w:name w:val="List Paragraph"/>
    <w:basedOn w:val="833"/>
    <w:qFormat/>
    <w:uiPriority w:val="34"/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mailto:cnapradamena@cg.gov.ua" TargetMode="External"/><Relationship Id="rId11" Type="http://schemas.openxmlformats.org/officeDocument/2006/relationships/hyperlink" Target="http://mena.cg.gov.ua/" TargetMode="External"/><Relationship Id="rId12" Type="http://schemas.openxmlformats.org/officeDocument/2006/relationships/hyperlink" Target="mailto:cnapradamena@cg.gov.ua" TargetMode="External"/><Relationship Id="rId13" Type="http://schemas.openxmlformats.org/officeDocument/2006/relationships/hyperlink" Target="http://mena.cg.gov.ua/" TargetMode="External"/><Relationship Id="rId14" Type="http://schemas.openxmlformats.org/officeDocument/2006/relationships/hyperlink" Target="mailto:cnapradamena@cg.gov.ua" TargetMode="External"/><Relationship Id="rId15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2022-09-24T08:31:00Z</dcterms:created>
  <dcterms:modified xsi:type="dcterms:W3CDTF">2022-10-27T14:41:13Z</dcterms:modified>
</cp:coreProperties>
</file>