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rFonts w:ascii="Times New Roman" w:hAnsi="Times New Roman"/>
          <w:bCs/>
          <w:sz w:val="28"/>
          <w:szCs w:val="22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Додаток </w:t>
      </w:r>
      <w:r/>
    </w:p>
    <w:p>
      <w:pPr>
        <w:ind w:left="581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рішення 24 сесії Менської міської ради 8 скликання</w:t>
      </w:r>
      <w:r/>
    </w:p>
    <w:p>
      <w:pPr>
        <w:pStyle w:val="98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26 жовтня 2022 року № 350</w:t>
      </w:r>
      <w:r/>
    </w:p>
    <w:p>
      <w:pPr>
        <w:ind w:left="5664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ПРОГРАМА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територіальної громади в умовах воєнного стану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2022 рік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Мена - 2022</w:t>
      </w:r>
      <w:r/>
    </w:p>
    <w:p>
      <w:pPr>
        <w:shd w:val="ni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</w:p>
    <w:p>
      <w:pPr>
        <w:jc w:val="center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ЗМІСТ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>
        <w:trPr>
          <w:trHeight w:val="689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tabs>
                <w:tab w:val="left" w:pos="7367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Паспорт Програми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      </w:r>
            <w:r/>
          </w:p>
        </w:tc>
        <w:tc>
          <w:tcPr>
            <w:tcW w:w="695" w:type="dxa"/>
            <w:vAlign w:val="center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W w:w="8953" w:type="dxa"/>
            <w:textDirection w:val="lrTb"/>
            <w:noWrap/>
          </w:tcPr>
          <w:p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Загальна характеристика програми</w:t>
            </w:r>
            <w:r/>
          </w:p>
          <w:p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Визначення проблеми, на розв’язання якої спрямована Програма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419"/>
        </w:trPr>
        <w:tc>
          <w:tcPr>
            <w:tcW w:w="8953" w:type="dxa"/>
            <w:textDirection w:val="lrTb"/>
            <w:noWrap/>
          </w:tcPr>
          <w:p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Мета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709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Обґрунтування шляхів і засобів розв’язання проблеми, обсягів та джерел фінансування, строки виконання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477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Завдання, заходи реалізації Програми та результативні показники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464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Координація та контроль за ходом виконання Програми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747" w:type="dxa"/>
        <w:tblLook w:val="00A0" w:firstRow="1" w:lastRow="0" w:firstColumn="1" w:lastColumn="0" w:noHBand="0" w:noVBand="0"/>
      </w:tblPr>
      <w:tblGrid>
        <w:gridCol w:w="1384"/>
        <w:gridCol w:w="8363"/>
      </w:tblGrid>
      <w:tr>
        <w:trPr>
          <w:trHeight w:val="1132"/>
        </w:trPr>
        <w:tc>
          <w:tcPr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Заходи Програми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рік.</w:t>
            </w:r>
            <w:r/>
          </w:p>
        </w:tc>
      </w:tr>
      <w:tr>
        <w:trPr/>
        <w:tc>
          <w:tcPr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Ресурсне забезпечення Програми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рік.</w:t>
            </w:r>
            <w:r/>
          </w:p>
        </w:tc>
      </w:tr>
    </w:tbl>
    <w:p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tabs>
          <w:tab w:val="left" w:pos="268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1.ПАСПОРТ ПРОГРАМИ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205"/>
        <w:gridCol w:w="4821"/>
      </w:tblGrid>
      <w:tr>
        <w:trPr>
          <w:trHeight w:val="22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tabs>
                <w:tab w:val="left" w:pos="42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номер і назва розпорядчого документа органу влади про розроблення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</w:t>
            </w:r>
            <w:bookmarkStart w:id="0" w:name="_Hlk100572204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«Про оборону України», «Про правовий режим воєнного стану», «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Про основи національного спротиву»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</w:tr>
      <w:tr>
        <w:trPr>
          <w:trHeight w:val="35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37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9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ромадське формування з охорон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и громадського порядку на території населених пунктів Менської міської територіальної громади, добровольчі формування територіальних громад, військові формування, що тимчасово дислокуються на території Менської міської територіальної громади,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Корюкі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вського районного відділу поліції Головного управління Національної поліції в Чернігівській області, перший відділ Корюківського районного територіального центру комплектування та соціальної підтримки, рота охорони першого відділу Корюківського РТЦК та СП,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суб’єкти господарювання критичної інфраструктури, спонсори, водії-волонтери</w:t>
            </w:r>
            <w:r/>
          </w:p>
        </w:tc>
      </w:tr>
      <w:tr>
        <w:trPr>
          <w:trHeight w:val="4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</w:tr>
      <w:tr>
        <w:trPr>
          <w:trHeight w:val="86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інші джерела, не заборонені законодавством</w:t>
            </w:r>
            <w:r/>
          </w:p>
        </w:tc>
      </w:tr>
      <w:tr>
        <w:trPr>
          <w:trHeight w:val="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20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Коштів бюджету Менської міської територіальної громади</w:t>
            </w:r>
            <w:r/>
          </w:p>
        </w:tc>
        <w:tc>
          <w:tcPr>
            <w:tcW w:w="482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4420,00 тис.грн.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4420,00 тис.грн.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shd w:val="nil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  <w:lang w:val="uk-UA"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highlight w:val="none"/>
          <w:lang w:val="uk-UA" w:eastAsia="ru-RU"/>
        </w:rPr>
      </w:r>
    </w:p>
    <w:p>
      <w:pPr>
        <w:jc w:val="center"/>
        <w:spacing w:before="0" w:beforeAutospacing="0"/>
        <w:rPr>
          <w:rFonts w:ascii="Times New Roman" w:hAnsi="Times New Roman"/>
          <w:b/>
          <w:bCs/>
          <w:sz w:val="28"/>
          <w:szCs w:val="28"/>
          <w:highlight w:val="none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2.Загальна характеристика програми</w:t>
      </w:r>
      <w:r/>
    </w:p>
    <w:p>
      <w:pPr>
        <w:ind w:right="-1" w:firstLine="709"/>
        <w:jc w:val="both"/>
        <w:spacing w:before="0" w:beforeAutospacing="0"/>
        <w:shd w:val="clear" w:fill="FFFFFF" w:color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підвищення обороноздатності та безпеки населених пунктів Менської міської територіальної громади в умовах воєнного стану на 2022 рік (далі - Програма) розроблена відповідно до 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Законів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оборону України», «Про правовий режим воєнного стану»,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Про основи національного спротиву»,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24 лютого 2022 року № 64/2022 «Про введення воєнного стану в Україні»,  затвердженого Законом України </w:t>
      </w:r>
      <w:hyperlink r:id="rId14" w:tooltip="https://zakon.rada.gov.ua/laws/show/2102-20" w:history="1">
        <w:r>
          <w:rPr>
            <w:rFonts w:ascii="Times New Roman" w:hAnsi="Times New Roman"/>
            <w:sz w:val="28"/>
            <w:szCs w:val="28"/>
            <w:lang w:val="uk-UA" w:eastAsia="ru-RU"/>
          </w:rPr>
          <w:t xml:space="preserve">№ 2102-IX від 24.02.2022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14 березня 2022 року №133/2022 «Про продовження строку дії воєнного стану в Україні», затвердженого  Законом України </w:t>
      </w:r>
      <w:hyperlink r:id="rId15" w:tooltip="https://zakon.rada.gov.ua/laws/show/2119-20#n5" w:anchor="n5" w:history="1">
        <w:r>
          <w:rPr>
            <w:rFonts w:ascii="Times New Roman" w:hAnsi="Times New Roman"/>
            <w:sz w:val="28"/>
            <w:szCs w:val="28"/>
            <w:lang w:val="uk-UA" w:eastAsia="ru-RU"/>
          </w:rPr>
          <w:t xml:space="preserve">№ 2119-IX від 15.03.2022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lang w:val="ru-RU"/>
        </w:rPr>
        <w:t xml:space="preserve">Законом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/>
          <w:sz w:val="28"/>
          <w:lang w:val="ru-RU"/>
        </w:rPr>
        <w:t xml:space="preserve">Про основи національного спротиву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/>
          <w:sz w:val="28"/>
          <w:lang w:val="ru-RU"/>
        </w:rPr>
        <w:t xml:space="preserve">, Постановою КМУ від 29.12.2021 №1449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/>
          <w:sz w:val="28"/>
          <w:lang w:val="ru-RU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pStyle w:val="977"/>
        <w:ind w:firstLine="567"/>
        <w:jc w:val="both"/>
        <w:spacing w:lineRule="auto" w:line="240" w:after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Програмою передбачено виконання заходів з </w:t>
      </w:r>
      <w:r>
        <w:rPr>
          <w:rFonts w:ascii="Times New Roman" w:hAnsi="Times New Roman"/>
          <w:bCs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рік, які зазначено в додатку 1 до Програми.</w:t>
      </w:r>
      <w:r/>
    </w:p>
    <w:p>
      <w:pPr>
        <w:jc w:val="center"/>
        <w:spacing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/>
      <w:bookmarkStart w:id="1" w:name="n3"/>
      <w:r/>
      <w:bookmarkEnd w:id="1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Визначення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проблеми, на розв’язання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якої спрямована Програма</w:t>
      </w:r>
      <w:r/>
    </w:p>
    <w:p>
      <w:pPr>
        <w:pStyle w:val="977"/>
        <w:ind w:firstLine="567"/>
        <w:jc w:val="both"/>
        <w:spacing w:lineRule="auto" w:line="240" w:after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</w:t>
      </w:r>
      <w:r>
        <w:rPr>
          <w:rFonts w:ascii="Times New Roman" w:hAnsi="Times New Roman"/>
          <w:sz w:val="28"/>
          <w:szCs w:val="28"/>
          <w:lang w:eastAsia="ru-RU"/>
        </w:rPr>
        <w:t xml:space="preserve">введенням воєнного стану в Україні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що спричинений триваючою широкомасштабною збройною агресією російської федерації проти України, веденням бойових дій на території Чернігівської області</w:t>
      </w:r>
      <w:r>
        <w:rPr>
          <w:rFonts w:ascii="Times New Roman" w:hAnsi="Times New Roman"/>
          <w:sz w:val="28"/>
          <w:szCs w:val="28"/>
        </w:rPr>
        <w:t xml:space="preserve"> виникла нагальна потреба у підвищенні обороноздатності Менської міської територіальної громади, підтримання безпеки та правопорядку в громаді, вжиття заходів із забезпечення продовольчої безпеки, забезпечення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функціонування об’єктів критичної інфраструктури</w:t>
      </w:r>
      <w:r>
        <w:rPr>
          <w:rFonts w:ascii="Times New Roman" w:hAnsi="Times New Roman"/>
          <w:sz w:val="28"/>
          <w:szCs w:val="28"/>
        </w:rPr>
        <w:t xml:space="preserve"> та надання допомоги особам, що вимушені переселитися із зони бойових дій.</w:t>
      </w:r>
      <w:r/>
    </w:p>
    <w:p>
      <w:pPr>
        <w:jc w:val="center"/>
        <w:spacing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Мета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Програ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</w:t>
      </w:r>
      <w:r/>
    </w:p>
    <w:p>
      <w:pPr>
        <w:pStyle w:val="938"/>
        <w:ind w:firstLine="567"/>
        <w:jc w:val="both"/>
        <w:spacing w:after="0" w:before="0" w:beforeAutospacing="0"/>
        <w:rPr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Метою Програми є здійснення заходів щодо: </w:t>
      </w:r>
      <w:r/>
    </w:p>
    <w:p>
      <w:pPr>
        <w:pStyle w:val="938"/>
        <w:numPr>
          <w:ilvl w:val="0"/>
          <w:numId w:val="15"/>
        </w:numPr>
        <w:ind w:left="0" w:right="0" w:firstLine="567"/>
        <w:jc w:val="both"/>
        <w:spacing w:after="0" w:before="0" w:beforeAutospacing="0"/>
        <w:tabs>
          <w:tab w:val="left" w:pos="850" w:leader="none"/>
        </w:tabs>
        <w:rPr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належного розміщення та забезпечення військових формувань, що тимчасово дислокуються на території Менської міської територіальної громади;</w:t>
      </w:r>
      <w:r/>
    </w:p>
    <w:p>
      <w:pPr>
        <w:pStyle w:val="938"/>
        <w:numPr>
          <w:ilvl w:val="0"/>
          <w:numId w:val="15"/>
        </w:numPr>
        <w:ind w:left="0" w:right="0" w:firstLine="567"/>
        <w:jc w:val="both"/>
        <w:spacing w:after="0" w:before="0" w:beforeAutospacing="0"/>
        <w:tabs>
          <w:tab w:val="left" w:pos="850" w:leader="none"/>
        </w:tabs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eastAsia="ru-RU"/>
        </w:rPr>
        <w:t xml:space="preserve">створення умов для функціонування </w:t>
      </w:r>
      <w:r>
        <w:rPr>
          <w:rFonts w:ascii="Times New Roman" w:hAnsi="Times New Roman"/>
          <w:b w:val="false"/>
          <w:bCs w:val="false"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ромадського формування з охорони громадського порядку на території населених пунктів Менської міської територіальної громади та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добровольчого формування територіальної громади;</w:t>
      </w:r>
      <w:r/>
    </w:p>
    <w:p>
      <w:pPr>
        <w:pStyle w:val="965"/>
        <w:numPr>
          <w:ilvl w:val="0"/>
          <w:numId w:val="15"/>
        </w:numPr>
        <w:ind w:left="0" w:right="0" w:firstLine="567"/>
        <w:jc w:val="both"/>
        <w:spacing w:before="0" w:beforeAutospacing="0"/>
        <w:tabs>
          <w:tab w:val="left" w:pos="850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сприяння в роботі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підтримки, роти охорони першого відділу Корюківського РТЦК та СП; </w:t>
      </w:r>
      <w:r/>
    </w:p>
    <w:p>
      <w:pPr>
        <w:pStyle w:val="965"/>
        <w:numPr>
          <w:ilvl w:val="0"/>
          <w:numId w:val="15"/>
        </w:numPr>
        <w:ind w:left="0" w:right="0" w:firstLine="567"/>
        <w:jc w:val="both"/>
        <w:spacing w:before="0" w:beforeAutospacing="0"/>
        <w:tabs>
          <w:tab w:val="left" w:pos="850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сприяння в роботі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; </w:t>
      </w:r>
      <w:r/>
    </w:p>
    <w:p>
      <w:pPr>
        <w:pStyle w:val="965"/>
        <w:numPr>
          <w:ilvl w:val="0"/>
          <w:numId w:val="15"/>
        </w:numPr>
        <w:ind w:left="0" w:right="0" w:firstLine="567"/>
        <w:jc w:val="both"/>
        <w:spacing w:before="0" w:beforeAutospacing="0"/>
        <w:tabs>
          <w:tab w:val="left" w:pos="850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доставки гуманітарних вантажів та товарів для забезпечення життєдіяльності жителів громади;</w:t>
      </w:r>
      <w:r/>
    </w:p>
    <w:p>
      <w:pPr>
        <w:pStyle w:val="965"/>
        <w:numPr>
          <w:ilvl w:val="0"/>
          <w:numId w:val="15"/>
        </w:numPr>
        <w:ind w:left="0" w:right="0" w:firstLine="567"/>
        <w:jc w:val="both"/>
        <w:spacing w:before="0" w:beforeAutospacing="0"/>
        <w:tabs>
          <w:tab w:val="left" w:pos="850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переміщення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осіб, які вимушені евакуюватися із зони бойових дій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; </w:t>
      </w:r>
      <w:r/>
    </w:p>
    <w:p>
      <w:pPr>
        <w:pStyle w:val="965"/>
        <w:numPr>
          <w:ilvl w:val="0"/>
          <w:numId w:val="15"/>
        </w:numPr>
        <w:ind w:left="0" w:right="0" w:firstLine="567"/>
        <w:jc w:val="both"/>
        <w:spacing w:before="0" w:beforeAutospacing="0"/>
        <w:tabs>
          <w:tab w:val="left" w:pos="850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забезпечення належного функціонування стратегічних об’єктів та об’єктів критичної інфраструктури.</w:t>
      </w:r>
      <w:r/>
    </w:p>
    <w:p>
      <w:pPr>
        <w:jc w:val="center"/>
        <w:spacing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5.Обґрунтування шляхів і засобів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розв’язання проблеми, обсягів та джерел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оки виконання Програми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 передбачає комплексне розв’язання проблем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</w:t>
      </w:r>
      <w:r>
        <w:rPr>
          <w:rFonts w:ascii="Times New Roman" w:hAnsi="Times New Roman"/>
          <w:sz w:val="28"/>
          <w:szCs w:val="28"/>
          <w:lang w:val="uk-UA"/>
        </w:rPr>
        <w:t xml:space="preserve">я обороноздатності Менської міської територіальної громади, підтримання безпеки та правопорядку в громаді в умовах воєнного стану, вжиття заходів із забезпечення продовольчої безпеки та надання допомоги особам, що вимушені переселитися із зони бойових дій.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заційне забезпечення виконання заходів з реалізації Програми здійснює Менська міська рада. 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Виконання Програми дасть можливість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підвищити обороноздатність та безпеку населених пунктів Менської міської територіальної громади в умовах воєнного стану.</w:t>
      </w:r>
      <w:r/>
    </w:p>
    <w:p>
      <w:pPr>
        <w:pStyle w:val="986"/>
        <w:ind w:firstLine="567"/>
        <w:jc w:val="both"/>
        <w:spacing w:after="0" w:afterAutospacing="0" w:before="0" w:beforeAutospacing="0"/>
        <w:shd w:val="clear" w:fill="FFFFFF" w:color="auto"/>
      </w:pPr>
      <w:r>
        <w:rPr>
          <w:color w:val="000000"/>
          <w:sz w:val="28"/>
          <w:szCs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pStyle w:val="985"/>
        <w:ind w:firstLine="567"/>
        <w:jc w:val="both"/>
        <w:spacing w:after="0" w:afterAutospacing="0" w:before="0" w:beforeAutospacing="0"/>
        <w:shd w:val="clear" w:fill="FFFFFF" w:color="auto"/>
      </w:pPr>
      <w:r>
        <w:rPr>
          <w:color w:val="000000"/>
          <w:sz w:val="28"/>
          <w:szCs w:val="28"/>
        </w:rPr>
        <w:t xml:space="preserve">Фінансування програми може здійснюватися шляхом перерахування коштів з місцевого бюджету до державного бюджету.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Фінансування та ресурс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 забезпечення Програми здійснюється за рахунок коштів бюджету Менської міської територіальної громади в межах видатків, затверджених на відповідний рік за відповідним напрямком, виходячи з фінансових можливостей (відповідно до додатків 1, 2 до Програми).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Також для реалі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зації заходів Програми можуть залучатися спонсорські кошти, благодійна допомога як в грошовій так і в натуральній формі, отримуватися товарно-матеріальні цінності з державних сховищ, здійснюватися фінансування з інших джерел, не заборонених законодавством.</w:t>
      </w:r>
      <w:r/>
    </w:p>
    <w:p>
      <w:pPr>
        <w:pStyle w:val="938"/>
        <w:ind w:firstLine="567"/>
        <w:jc w:val="both"/>
        <w:spacing w:after="0" w:before="0" w:beforeAutospacing="0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Реалізація Програми відбуватиметься протягом 2022 року. </w:t>
      </w:r>
      <w:r/>
    </w:p>
    <w:p>
      <w:pPr>
        <w:jc w:val="center"/>
        <w:spacing w:before="113" w:beforeAutospacing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результативні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показники виконання Програми</w:t>
      </w:r>
      <w:r/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Програмою передбачається здійснити ряд завдань та </w:t>
      </w:r>
      <w:bookmarkStart w:id="2" w:name="_Hlk10066668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заходів щодо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належного розміщення та забезпечення військових формувань, що тимчасово дислокуються на території Менської міської територіальної громади,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створення умов для функціонування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ромадського формування з охорони громадського порядку на території населених пунктів Менської міської територіальної громади;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функціонування добровольчого формування територіальної громади;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доставки гуманітарних вантажів та товарів для забезпечення життєдіяльності жителів громади, підвозу біженців із зони бойових дій та забезпечення належного функціонування стратегічних об’єктів та об’єктів критичної інфраструктури.</w:t>
      </w:r>
      <w:bookmarkEnd w:id="2"/>
      <w:r/>
      <w:r/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Реалізація заходів Програми (згідно додатку 1) дасть змогу 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обороноздатності Менської міської територіальної громади, підтримання безпеки та правопорядку в громаді, продовольчу безпеку та надання допомоги особам, що вимушені переселитися із зони бойових дій. </w:t>
      </w:r>
      <w:r/>
    </w:p>
    <w:p>
      <w:pPr>
        <w:jc w:val="center"/>
        <w:spacing w:before="113" w:beforeAutospacing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Координація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контроль за ходом виконання Програми</w:t>
      </w:r>
      <w:r/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покладається на Менську міську раду, Д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обровольче формування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ромадське формування з охорони громадського порядку на території населених пунктів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які забезпечують своєчасне та якісне виконання зах</w:t>
      </w:r>
      <w:r>
        <w:rPr>
          <w:rFonts w:ascii="Times New Roman" w:hAnsi="Times New Roman"/>
          <w:sz w:val="28"/>
          <w:szCs w:val="28"/>
          <w:lang w:val="uk-UA"/>
        </w:rPr>
        <w:t xml:space="preserve">одів Програми, ефективне і цільове використання бюджетних коштів.</w:t>
      </w:r>
      <w:r>
        <w:rPr>
          <w:sz w:val="28"/>
        </w:rPr>
      </w:r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567"/>
        <w:jc w:val="both"/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  <w:r>
        <w:rPr>
          <w:sz w:val="28"/>
        </w:rPr>
      </w:r>
    </w:p>
    <w:p>
      <w:pPr>
        <w:jc w:val="both"/>
        <w:spacing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діяль</w:t>
      </w:r>
      <w:r>
        <w:rPr>
          <w:rFonts w:ascii="Times New Roman" w:hAnsi="Times New Roman"/>
          <w:sz w:val="28"/>
          <w:szCs w:val="28"/>
          <w:lang w:val="uk-UA"/>
        </w:rPr>
        <w:t xml:space="preserve">ності виконавчих органів ради                                              Сергій ГАЄВОЙ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ru-RU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851" w:right="567" w:bottom="964" w:left="1701" w:header="283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10065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Додаток  1</w:t>
      </w:r>
      <w:r>
        <w:rPr>
          <w:sz w:val="20"/>
        </w:rPr>
      </w:r>
    </w:p>
    <w:p>
      <w:pPr>
        <w:ind w:left="10065" w:right="11"/>
        <w:jc w:val="both"/>
        <w:shd w:val="clear" w:fill="FFFFFF" w:color="auto"/>
        <w:rPr>
          <w:rFonts w:ascii="Times New Roman" w:hAnsi="Times New Roman"/>
          <w:bCs/>
          <w:spacing w:val="-4"/>
          <w:sz w:val="22"/>
          <w:szCs w:val="28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до Програми </w:t>
      </w:r>
      <w:r>
        <w:rPr>
          <w:rFonts w:ascii="Times New Roman" w:hAnsi="Times New Roman"/>
          <w:sz w:val="22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>
        <w:rPr>
          <w:sz w:val="20"/>
        </w:rPr>
      </w:r>
    </w:p>
    <w:p>
      <w:pPr>
        <w:ind w:left="10065"/>
        <w:jc w:val="both"/>
        <w:rPr>
          <w:rFonts w:ascii="Times New Roman" w:hAnsi="Times New Roman"/>
          <w:bCs/>
          <w:spacing w:val="-4"/>
          <w:sz w:val="16"/>
          <w:szCs w:val="28"/>
          <w:lang w:val="ru-RU"/>
        </w:rPr>
      </w:pPr>
      <w:r>
        <w:rPr>
          <w:rFonts w:ascii="Times New Roman" w:hAnsi="Times New Roman"/>
          <w:bCs/>
          <w:spacing w:val="-4"/>
          <w:sz w:val="16"/>
          <w:szCs w:val="28"/>
          <w:lang w:val="ru-RU"/>
        </w:rPr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tbl>
      <w:tblPr>
        <w:tblW w:w="14867" w:type="dxa"/>
        <w:tblInd w:w="-1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31"/>
        <w:gridCol w:w="1276"/>
        <w:gridCol w:w="2976"/>
        <w:gridCol w:w="2726"/>
        <w:gridCol w:w="1415"/>
        <w:gridCol w:w="961"/>
        <w:gridCol w:w="14"/>
      </w:tblGrid>
      <w:tr>
        <w:trPr>
          <w:gridAfter w:val="1"/>
          <w:trHeight w:val="469"/>
        </w:trPr>
        <w:tc>
          <w:tcPr>
            <w:tcW w:w="568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№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з/п</w:t>
            </w:r>
            <w:r/>
          </w:p>
        </w:tc>
        <w:tc>
          <w:tcPr>
            <w:tcW w:w="493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Строк виконання заходів</w:t>
            </w:r>
            <w:r/>
          </w:p>
        </w:tc>
        <w:tc>
          <w:tcPr>
            <w:tcW w:w="297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Виконавці</w:t>
            </w:r>
            <w:r/>
          </w:p>
        </w:tc>
        <w:tc>
          <w:tcPr>
            <w:tcW w:w="272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tcW w:w="14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Орієнтовані обсяги фінансування, тис. грн.</w:t>
            </w:r>
            <w:r/>
          </w:p>
        </w:tc>
        <w:tc>
          <w:tcPr>
            <w:tcW w:w="961" w:type="dxa"/>
            <w:vAlign w:val="center"/>
            <w:vMerge w:val="restart"/>
            <w:textDirection w:val="lrTb"/>
            <w:noWrap/>
          </w:tcPr>
          <w:p>
            <w:pPr>
              <w:ind w:left="-109" w:right="-131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gridAfter w:val="1"/>
          <w:trHeight w:val="159"/>
        </w:trPr>
        <w:tc>
          <w:tcPr>
            <w:tcW w:w="568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4931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2976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2726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2"/>
                <w:szCs w:val="28"/>
                <w:lang w:val="uk-UA"/>
              </w:rPr>
              <w:t xml:space="preserve">2022р.</w:t>
            </w:r>
            <w:r/>
          </w:p>
        </w:tc>
        <w:tc>
          <w:tcPr>
            <w:tcW w:w="961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</w:tr>
      <w:tr>
        <w:trPr>
          <w:gridAfter w:val="1"/>
          <w:trHeight w:val="344"/>
        </w:trPr>
        <w:tc>
          <w:tcPr>
            <w:tcW w:w="568" w:type="dxa"/>
            <w:textDirection w:val="lrTb"/>
            <w:noWrap/>
          </w:tcPr>
          <w:p>
            <w:pPr>
              <w:pStyle w:val="965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493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Забезпечення умов для тимчасової дислокації військових формувань на території громади, в т.ч.: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відшкодування послуг з проживання і приготування їжі, комунальних послуг;</w:t>
            </w:r>
            <w:r/>
          </w:p>
          <w:p>
            <w:pPr>
              <w:pStyle w:val="985"/>
              <w:jc w:val="both"/>
              <w:spacing w:after="0" w:afterAutospacing="0" w:before="0" w:beforeAutospacing="0"/>
              <w:tabs>
                <w:tab w:val="left" w:pos="170" w:leader="none"/>
              </w:tabs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оплата послуг з проживання і приготування їжі, комунальних послуг;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харчування;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транспортні послуги;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перевезення особового складу;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ремонт військової техніки;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лазне-пральне обслуговування;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надання матеріалів та обладнання.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військові формування, що тимчасово дислокуються на території Менської міської територіальної громади</w:t>
            </w:r>
            <w:r/>
          </w:p>
        </w:tc>
        <w:tc>
          <w:tcPr>
            <w:tcW w:w="27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400,00</w:t>
            </w:r>
            <w:r/>
          </w:p>
        </w:tc>
        <w:tc>
          <w:tcPr>
            <w:tcW w:w="961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tcW w:w="568" w:type="dxa"/>
            <w:textDirection w:val="lrTb"/>
            <w:noWrap/>
          </w:tcPr>
          <w:p>
            <w:pPr>
              <w:pStyle w:val="965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493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діяльності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ромадського формування з охорони громадського порядку на території населених пунктів Менської міської територіальної громади, в т.ч.: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5"/>
              <w:numPr>
                <w:ilvl w:val="0"/>
                <w:numId w:val="12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 членів громадського формування (в т.ч. через заклади освіти громади).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ромадське формування з охорони громадського порядку на території населених пунктів Менської міської територіальної громади,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заклади освіти громади</w:t>
            </w:r>
            <w:r/>
          </w:p>
        </w:tc>
        <w:tc>
          <w:tcPr>
            <w:tcW w:w="27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gridSpan w:val="2"/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pStyle w:val="965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1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функціонування добровольчого формування територіальної громади, в т.ч.: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5"/>
              <w:numPr>
                <w:ilvl w:val="0"/>
                <w:numId w:val="12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 членів формування (в т.ч. через заклади освіти громади).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76" w:type="dxa"/>
            <w:vMerge w:val="restart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добровольче формування територіальної громади; 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26" w:type="dxa"/>
            <w:vMerge w:val="restart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vMerge w:val="restart"/>
            <w:textDirection w:val="lrTb"/>
            <w:noWrap/>
          </w:tcPr>
          <w:p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5" w:type="dxa"/>
            <w:vMerge w:val="restart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pStyle w:val="965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1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першого відділу Корюківського районного територіального центру комплектування та соціальної підтримки та роти охорони першого відділу Корюківського РТЦК та СП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в т.ч.:</w:t>
            </w:r>
            <w:r/>
          </w:p>
          <w:p>
            <w:pPr>
              <w:pStyle w:val="965"/>
              <w:numPr>
                <w:ilvl w:val="0"/>
                <w:numId w:val="11"/>
              </w:numPr>
              <w:ind w:left="28" w:firstLine="0"/>
              <w:jc w:val="both"/>
              <w:tabs>
                <w:tab w:val="left" w:pos="312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5"/>
              <w:numPr>
                <w:ilvl w:val="0"/>
                <w:numId w:val="14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перевезення особового складу;</w:t>
            </w:r>
            <w:r/>
          </w:p>
          <w:p>
            <w:pPr>
              <w:pStyle w:val="965"/>
              <w:numPr>
                <w:ilvl w:val="0"/>
                <w:numId w:val="13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надання матеріалів та обладнання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;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r>
            <w:r/>
          </w:p>
          <w:p>
            <w:pPr>
              <w:pStyle w:val="965"/>
              <w:numPr>
                <w:ilvl w:val="0"/>
                <w:numId w:val="13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придбання матеріалів, обладнання, запасних частин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;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r>
            <w:r/>
          </w:p>
          <w:p>
            <w:pPr>
              <w:pStyle w:val="965"/>
              <w:numPr>
                <w:ilvl w:val="0"/>
                <w:numId w:val="13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highlight w:val="none"/>
                <w:lang w:val="uk-UA"/>
              </w:rPr>
              <w:t xml:space="preserve">оплата послуг.</w:t>
            </w:r>
            <w:r>
              <w:rPr>
                <w:rFonts w:ascii="Times New Roman" w:hAnsi="Times New Roman"/>
                <w:spacing w:val="-4"/>
                <w:sz w:val="28"/>
                <w:szCs w:val="28"/>
                <w:highlight w:val="none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76" w:type="dxa"/>
            <w:vMerge w:val="restart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підтримки, рота охорони першого відділу Корюківського РТЦК та СП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26" w:type="dxa"/>
            <w:vMerge w:val="restart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vMerge w:val="restart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3000,00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5" w:type="dxa"/>
            <w:vMerge w:val="restart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tcW w:w="568" w:type="dxa"/>
            <w:textDirection w:val="lrTb"/>
            <w:noWrap/>
          </w:tcPr>
          <w:p>
            <w:pPr>
              <w:pStyle w:val="965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493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в т.ч.: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28" w:firstLine="0"/>
              <w:jc w:val="both"/>
              <w:tabs>
                <w:tab w:val="left" w:pos="31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7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170,00</w:t>
            </w:r>
            <w:r/>
          </w:p>
        </w:tc>
        <w:tc>
          <w:tcPr>
            <w:gridSpan w:val="2"/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73"/>
        </w:trPr>
        <w:tc>
          <w:tcPr>
            <w:tcW w:w="568" w:type="dxa"/>
            <w:textDirection w:val="lrTb"/>
            <w:noWrap/>
          </w:tcPr>
          <w:p>
            <w:pPr>
              <w:pStyle w:val="965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493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Перевезення гуманітарних вантажів, товарів для забезпечення життєдіяльності громади та осіб, які вимушені евакуюватися із зони бойових дій, в т.ч.: </w:t>
            </w:r>
            <w:r/>
          </w:p>
          <w:p>
            <w:pPr>
              <w:pStyle w:val="965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водії-волонтери</w:t>
            </w:r>
            <w:r/>
          </w:p>
        </w:tc>
        <w:tc>
          <w:tcPr>
            <w:tcW w:w="27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150,00</w:t>
            </w:r>
            <w:r/>
          </w:p>
        </w:tc>
        <w:tc>
          <w:tcPr>
            <w:gridSpan w:val="2"/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73"/>
        </w:trPr>
        <w:tc>
          <w:tcPr>
            <w:tcW w:w="568" w:type="dxa"/>
            <w:textDirection w:val="lrTb"/>
            <w:noWrap/>
          </w:tcPr>
          <w:p>
            <w:pPr>
              <w:pStyle w:val="965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493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Забезпечення належного функціонування стратегічних об’єктів та об’єктів критичної інфраструктури, в т.ч.: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придбання паливно-мастильних матеріалів для заправки автотранспорту.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pStyle w:val="96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7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100,00</w:t>
            </w:r>
            <w:r/>
          </w:p>
        </w:tc>
        <w:tc>
          <w:tcPr>
            <w:gridSpan w:val="2"/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257"/>
        </w:trPr>
        <w:tc>
          <w:tcPr>
            <w:tcW w:w="56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W w:w="493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7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W w:w="141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4420,00</w:t>
            </w:r>
            <w:r/>
          </w:p>
        </w:tc>
        <w:tc>
          <w:tcPr>
            <w:gridSpan w:val="2"/>
            <w:tcW w:w="97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</w:tr>
    </w:tbl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діяльності 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                                                  </w:t>
      </w:r>
      <w:bookmarkStart w:id="3" w:name="_GoBack"/>
      <w:r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Сергій ГАЄВОЙ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  <w:r/>
    </w:p>
    <w:p>
      <w:pPr>
        <w:ind w:left="10065" w:right="11"/>
        <w:jc w:val="both"/>
        <w:shd w:val="clear" w:fill="FFFFFF" w:color="auto"/>
        <w:rPr>
          <w:rFonts w:ascii="Times New Roman" w:hAnsi="Times New Roman"/>
          <w:sz w:val="22"/>
          <w:szCs w:val="28"/>
          <w:lang w:val="uk-UA"/>
        </w:rPr>
      </w:pPr>
      <w:r>
        <w:rPr>
          <w:rFonts w:ascii="Times New Roman" w:hAnsi="Times New Roman"/>
          <w:sz w:val="22"/>
          <w:lang w:val="uk-UA"/>
        </w:rPr>
        <w:t xml:space="preserve">Додаток  2</w:t>
      </w:r>
      <w:r>
        <w:rPr>
          <w:rFonts w:ascii="Times New Roman" w:hAnsi="Times New Roman"/>
          <w:sz w:val="22"/>
          <w:lang w:val="uk-UA"/>
        </w:rPr>
      </w:r>
    </w:p>
    <w:p>
      <w:pPr>
        <w:ind w:left="10065" w:right="11"/>
        <w:jc w:val="both"/>
        <w:shd w:val="clear" w:fill="FFFFFF" w:color="auto"/>
        <w:rPr>
          <w:rFonts w:ascii="Times New Roman" w:hAnsi="Times New Roman"/>
          <w:bCs/>
          <w:sz w:val="22"/>
          <w:szCs w:val="28"/>
          <w:lang w:val="uk-UA"/>
        </w:rPr>
      </w:pPr>
      <w:r>
        <w:rPr>
          <w:rFonts w:ascii="Times New Roman" w:hAnsi="Times New Roman"/>
          <w:sz w:val="22"/>
          <w:lang w:val="uk-UA"/>
        </w:rPr>
        <w:t xml:space="preserve">до </w:t>
      </w:r>
      <w:r>
        <w:rPr>
          <w:rFonts w:ascii="Times New Roman" w:hAnsi="Times New Roman"/>
          <w:sz w:val="22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2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>
        <w:rPr>
          <w:rFonts w:ascii="Times New Roman" w:hAnsi="Times New Roman"/>
          <w:sz w:val="22"/>
          <w:lang w:val="uk-UA"/>
        </w:rPr>
      </w:r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Програми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Менської міської територіальної громади в умовах воєнного стану на 2022 рік</w:t>
      </w:r>
      <w:r/>
    </w:p>
    <w:p>
      <w:pPr>
        <w:ind w:right="11"/>
        <w:jc w:val="center"/>
        <w:shd w:val="clear" w:fill="FFFFFF" w:color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Усього витрат на виконання Програми,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тис. гривень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всього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4420,00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 Менської міської територіальної  громади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4420,00</w:t>
            </w:r>
            <w:r/>
          </w:p>
        </w:tc>
      </w:tr>
    </w:tbl>
    <w:p>
      <w:pPr>
        <w:tabs>
          <w:tab w:val="left" w:pos="73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питань діяльності виконавчих </w:t>
      </w:r>
      <w:r/>
    </w:p>
    <w:p>
      <w:pPr>
        <w:tabs>
          <w:tab w:val="left" w:pos="7367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органів ради                                                                                                                                                       Сергій ГАЄВОЙ</w:t>
      </w:r>
      <w:r/>
    </w:p>
    <w:sectPr>
      <w:footnotePr/>
      <w:endnotePr/>
      <w:type w:val="nextPage"/>
      <w:pgSz w:w="16838" w:h="11906" w:orient="landscape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  <w:jc w:val="right"/>
      <w:tabs>
        <w:tab w:val="clear" w:pos="4153" w:leader="none"/>
        <w:tab w:val="clear" w:pos="8306" w:leader="none"/>
        <w:tab w:val="center" w:pos="9638" w:leader="none"/>
      </w:tabs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        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  <w:rPr>
        <w:rStyle w:val="981"/>
      </w:rPr>
      <w:framePr w:wrap="around" w:vAnchor="text" w:hAnchor="margin" w:xAlign="center" w:y="1"/>
    </w:pPr>
    <w:r>
      <w:rPr>
        <w:rStyle w:val="981"/>
      </w:rPr>
      <w:fldChar w:fldCharType="begin"/>
    </w:r>
    <w:r>
      <w:rPr>
        <w:rStyle w:val="981"/>
      </w:rPr>
      <w:instrText xml:space="preserve">PAGE  </w:instrText>
    </w:r>
    <w:r>
      <w:rPr>
        <w:rStyle w:val="981"/>
      </w:rPr>
      <w:fldChar w:fldCharType="separate"/>
    </w:r>
    <w:r>
      <w:rPr>
        <w:rStyle w:val="981"/>
      </w:rPr>
      <w:t xml:space="preserve">6</w:t>
    </w:r>
    <w:r>
      <w:rPr>
        <w:rStyle w:val="981"/>
      </w:rPr>
      <w:fldChar w:fldCharType="end"/>
    </w:r>
    <w:r/>
  </w:p>
  <w:p>
    <w:pPr>
      <w:pStyle w:val="97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  <w:jc w:val="center"/>
    </w:pPr>
    <w:r/>
    <w:r/>
  </w:p>
  <w:p>
    <w:pPr>
      <w:pStyle w:val="9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 w:default="1">
    <w:name w:val="Normal"/>
    <w:qFormat/>
    <w:rPr>
      <w:sz w:val="24"/>
      <w:szCs w:val="24"/>
      <w:lang w:val="en-US" w:eastAsia="en-US"/>
    </w:rPr>
  </w:style>
  <w:style w:type="paragraph" w:styleId="733">
    <w:name w:val="Heading 1"/>
    <w:basedOn w:val="732"/>
    <w:next w:val="732"/>
    <w:link w:val="787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34">
    <w:name w:val="Heading 2"/>
    <w:basedOn w:val="732"/>
    <w:next w:val="732"/>
    <w:link w:val="78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35">
    <w:name w:val="Heading 3"/>
    <w:basedOn w:val="732"/>
    <w:next w:val="732"/>
    <w:link w:val="78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>
    <w:name w:val="Heading 4"/>
    <w:basedOn w:val="732"/>
    <w:next w:val="732"/>
    <w:link w:val="79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>
    <w:name w:val="Heading 5"/>
    <w:basedOn w:val="732"/>
    <w:next w:val="732"/>
    <w:link w:val="79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4"/>
    </w:pPr>
  </w:style>
  <w:style w:type="paragraph" w:styleId="738">
    <w:name w:val="Heading 6"/>
    <w:basedOn w:val="732"/>
    <w:next w:val="732"/>
    <w:link w:val="792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9">
    <w:name w:val="Heading 7"/>
    <w:basedOn w:val="732"/>
    <w:next w:val="732"/>
    <w:link w:val="793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0">
    <w:name w:val="Heading 8"/>
    <w:basedOn w:val="732"/>
    <w:next w:val="732"/>
    <w:link w:val="794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1">
    <w:name w:val="Heading 9"/>
    <w:basedOn w:val="732"/>
    <w:next w:val="732"/>
    <w:link w:val="79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default="1">
    <w:name w:val="Default Paragraph Font"/>
    <w:uiPriority w:val="99"/>
    <w:semiHidden/>
  </w:style>
  <w:style w:type="table" w:styleId="7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Heading 1 Char"/>
    <w:basedOn w:val="742"/>
    <w:link w:val="733"/>
    <w:uiPriority w:val="99"/>
    <w:rPr>
      <w:rFonts w:ascii="Arial" w:hAnsi="Arial" w:cs="Arial"/>
      <w:sz w:val="40"/>
      <w:szCs w:val="40"/>
    </w:rPr>
  </w:style>
  <w:style w:type="character" w:styleId="746" w:customStyle="1">
    <w:name w:val="Heading 2 Char"/>
    <w:basedOn w:val="742"/>
    <w:link w:val="734"/>
    <w:uiPriority w:val="99"/>
    <w:rPr>
      <w:rFonts w:ascii="Arial" w:hAnsi="Arial" w:cs="Arial"/>
      <w:sz w:val="34"/>
    </w:rPr>
  </w:style>
  <w:style w:type="character" w:styleId="747" w:customStyle="1">
    <w:name w:val="Heading 3 Char"/>
    <w:basedOn w:val="742"/>
    <w:link w:val="735"/>
    <w:uiPriority w:val="99"/>
    <w:rPr>
      <w:rFonts w:ascii="Arial" w:hAnsi="Arial" w:cs="Arial"/>
      <w:sz w:val="30"/>
      <w:szCs w:val="30"/>
    </w:rPr>
  </w:style>
  <w:style w:type="character" w:styleId="748" w:customStyle="1">
    <w:name w:val="Heading 4 Char"/>
    <w:basedOn w:val="742"/>
    <w:link w:val="736"/>
    <w:uiPriority w:val="99"/>
    <w:rPr>
      <w:rFonts w:ascii="Arial" w:hAnsi="Arial" w:cs="Arial"/>
      <w:b/>
      <w:bCs/>
      <w:sz w:val="26"/>
      <w:szCs w:val="26"/>
    </w:rPr>
  </w:style>
  <w:style w:type="character" w:styleId="749" w:customStyle="1">
    <w:name w:val="Heading 5 Char"/>
    <w:basedOn w:val="742"/>
    <w:link w:val="737"/>
    <w:uiPriority w:val="99"/>
    <w:rPr>
      <w:rFonts w:ascii="Arial" w:hAnsi="Arial" w:cs="Arial"/>
      <w:b/>
      <w:bCs/>
      <w:sz w:val="24"/>
      <w:szCs w:val="24"/>
    </w:rPr>
  </w:style>
  <w:style w:type="character" w:styleId="750" w:customStyle="1">
    <w:name w:val="Heading 6 Char"/>
    <w:basedOn w:val="742"/>
    <w:link w:val="738"/>
    <w:uiPriority w:val="99"/>
    <w:rPr>
      <w:rFonts w:ascii="Arial" w:hAnsi="Arial" w:cs="Arial"/>
      <w:b/>
      <w:bCs/>
      <w:sz w:val="22"/>
      <w:szCs w:val="22"/>
    </w:rPr>
  </w:style>
  <w:style w:type="character" w:styleId="751" w:customStyle="1">
    <w:name w:val="Heading 7 Char"/>
    <w:basedOn w:val="742"/>
    <w:link w:val="73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2" w:customStyle="1">
    <w:name w:val="Heading 8 Char"/>
    <w:basedOn w:val="742"/>
    <w:link w:val="740"/>
    <w:uiPriority w:val="99"/>
    <w:rPr>
      <w:rFonts w:ascii="Arial" w:hAnsi="Arial" w:cs="Arial"/>
      <w:i/>
      <w:iCs/>
      <w:sz w:val="22"/>
      <w:szCs w:val="22"/>
    </w:rPr>
  </w:style>
  <w:style w:type="character" w:styleId="753" w:customStyle="1">
    <w:name w:val="Heading 9 Char"/>
    <w:basedOn w:val="742"/>
    <w:link w:val="741"/>
    <w:uiPriority w:val="99"/>
    <w:rPr>
      <w:rFonts w:ascii="Arial" w:hAnsi="Arial" w:cs="Arial"/>
      <w:i/>
      <w:iCs/>
      <w:sz w:val="21"/>
      <w:szCs w:val="21"/>
    </w:rPr>
  </w:style>
  <w:style w:type="character" w:styleId="754" w:customStyle="1">
    <w:name w:val="Header Char"/>
    <w:basedOn w:val="742"/>
    <w:link w:val="756"/>
    <w:uiPriority w:val="99"/>
    <w:rPr>
      <w:rFonts w:cs="Times New Roman"/>
    </w:rPr>
  </w:style>
  <w:style w:type="character" w:styleId="755" w:customStyle="1">
    <w:name w:val="Caption Char"/>
    <w:uiPriority w:val="99"/>
  </w:style>
  <w:style w:type="paragraph" w:styleId="756">
    <w:name w:val="Header"/>
    <w:basedOn w:val="732"/>
    <w:link w:val="757"/>
    <w:uiPriority w:val="99"/>
    <w:pPr>
      <w:tabs>
        <w:tab w:val="center" w:pos="7143" w:leader="none"/>
        <w:tab w:val="right" w:pos="14287" w:leader="none"/>
      </w:tabs>
    </w:pPr>
  </w:style>
  <w:style w:type="character" w:styleId="757" w:customStyle="1">
    <w:name w:val="Header Char1"/>
    <w:basedOn w:val="742"/>
    <w:link w:val="756"/>
    <w:uiPriority w:val="99"/>
    <w:rPr>
      <w:rFonts w:cs="Times New Roman"/>
    </w:rPr>
  </w:style>
  <w:style w:type="paragraph" w:styleId="758">
    <w:name w:val="Footer"/>
    <w:basedOn w:val="732"/>
    <w:link w:val="781"/>
    <w:uiPriority w:val="99"/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basedOn w:val="742"/>
    <w:link w:val="758"/>
    <w:uiPriority w:val="99"/>
    <w:rPr>
      <w:rFonts w:cs="Times New Roman"/>
    </w:rPr>
  </w:style>
  <w:style w:type="table" w:styleId="760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79" w:customStyle="1">
    <w:name w:val="Endnote Text Char"/>
    <w:uiPriority w:val="99"/>
    <w:rPr>
      <w:sz w:val="20"/>
    </w:rPr>
  </w:style>
  <w:style w:type="paragraph" w:styleId="780">
    <w:name w:val="Caption"/>
    <w:basedOn w:val="732"/>
    <w:next w:val="732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81" w:customStyle="1">
    <w:name w:val="Footer Char1"/>
    <w:link w:val="758"/>
    <w:uiPriority w:val="99"/>
  </w:style>
  <w:style w:type="character" w:styleId="782" w:customStyle="1">
    <w:name w:val="Footnote Text Char"/>
    <w:uiPriority w:val="99"/>
    <w:rPr>
      <w:sz w:val="18"/>
    </w:rPr>
  </w:style>
  <w:style w:type="paragraph" w:styleId="783">
    <w:name w:val="endnote text"/>
    <w:basedOn w:val="732"/>
    <w:link w:val="784"/>
    <w:uiPriority w:val="99"/>
    <w:semiHidden/>
    <w:rPr>
      <w:sz w:val="20"/>
      <w:szCs w:val="20"/>
      <w:lang w:val="ru-RU" w:eastAsia="ru-RU"/>
    </w:rPr>
  </w:style>
  <w:style w:type="character" w:styleId="784" w:customStyle="1">
    <w:name w:val="Endnote Text Char1"/>
    <w:basedOn w:val="742"/>
    <w:link w:val="783"/>
    <w:uiPriority w:val="99"/>
    <w:rPr>
      <w:rFonts w:cs="Times New Roman"/>
      <w:sz w:val="20"/>
    </w:rPr>
  </w:style>
  <w:style w:type="character" w:styleId="785">
    <w:name w:val="endnote reference"/>
    <w:basedOn w:val="742"/>
    <w:uiPriority w:val="99"/>
    <w:semiHidden/>
    <w:rPr>
      <w:rFonts w:cs="Times New Roman"/>
      <w:vertAlign w:val="superscript"/>
    </w:rPr>
  </w:style>
  <w:style w:type="paragraph" w:styleId="786">
    <w:name w:val="table of figures"/>
    <w:basedOn w:val="732"/>
    <w:next w:val="732"/>
    <w:uiPriority w:val="99"/>
  </w:style>
  <w:style w:type="character" w:styleId="787" w:customStyle="1">
    <w:name w:val="Heading 1 Char1"/>
    <w:basedOn w:val="742"/>
    <w:link w:val="733"/>
    <w:uiPriority w:val="99"/>
    <w:rPr>
      <w:rFonts w:ascii="Arial" w:hAnsi="Arial" w:cs="Arial"/>
      <w:sz w:val="40"/>
      <w:szCs w:val="40"/>
    </w:rPr>
  </w:style>
  <w:style w:type="character" w:styleId="788" w:customStyle="1">
    <w:name w:val="Heading 2 Char1"/>
    <w:basedOn w:val="742"/>
    <w:link w:val="734"/>
    <w:uiPriority w:val="99"/>
    <w:rPr>
      <w:rFonts w:ascii="Arial" w:hAnsi="Arial" w:cs="Arial"/>
      <w:sz w:val="34"/>
    </w:rPr>
  </w:style>
  <w:style w:type="character" w:styleId="789" w:customStyle="1">
    <w:name w:val="Heading 3 Char1"/>
    <w:basedOn w:val="742"/>
    <w:link w:val="735"/>
    <w:uiPriority w:val="99"/>
    <w:rPr>
      <w:rFonts w:ascii="Arial" w:hAnsi="Arial" w:cs="Arial"/>
      <w:sz w:val="30"/>
      <w:szCs w:val="30"/>
    </w:rPr>
  </w:style>
  <w:style w:type="character" w:styleId="790" w:customStyle="1">
    <w:name w:val="Heading 4 Char1"/>
    <w:basedOn w:val="742"/>
    <w:link w:val="736"/>
    <w:uiPriority w:val="99"/>
    <w:rPr>
      <w:rFonts w:ascii="Arial" w:hAnsi="Arial" w:cs="Arial"/>
      <w:b/>
      <w:bCs/>
      <w:sz w:val="26"/>
      <w:szCs w:val="26"/>
    </w:rPr>
  </w:style>
  <w:style w:type="character" w:styleId="791" w:customStyle="1">
    <w:name w:val="Heading 5 Char1"/>
    <w:basedOn w:val="742"/>
    <w:link w:val="737"/>
    <w:uiPriority w:val="99"/>
    <w:rPr>
      <w:rFonts w:ascii="Arial" w:hAnsi="Arial" w:cs="Arial"/>
      <w:b/>
      <w:bCs/>
      <w:sz w:val="24"/>
      <w:szCs w:val="24"/>
    </w:rPr>
  </w:style>
  <w:style w:type="character" w:styleId="792" w:customStyle="1">
    <w:name w:val="Heading 6 Char1"/>
    <w:basedOn w:val="742"/>
    <w:link w:val="738"/>
    <w:uiPriority w:val="99"/>
    <w:rPr>
      <w:rFonts w:ascii="Arial" w:hAnsi="Arial" w:cs="Arial"/>
      <w:b/>
      <w:bCs/>
      <w:sz w:val="22"/>
      <w:szCs w:val="22"/>
    </w:rPr>
  </w:style>
  <w:style w:type="character" w:styleId="793" w:customStyle="1">
    <w:name w:val="Heading 7 Char1"/>
    <w:basedOn w:val="742"/>
    <w:link w:val="73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94" w:customStyle="1">
    <w:name w:val="Heading 8 Char1"/>
    <w:basedOn w:val="742"/>
    <w:link w:val="740"/>
    <w:uiPriority w:val="99"/>
    <w:rPr>
      <w:rFonts w:ascii="Arial" w:hAnsi="Arial" w:cs="Arial"/>
      <w:i/>
      <w:iCs/>
      <w:sz w:val="22"/>
      <w:szCs w:val="22"/>
    </w:rPr>
  </w:style>
  <w:style w:type="character" w:styleId="795" w:customStyle="1">
    <w:name w:val="Heading 9 Char1"/>
    <w:basedOn w:val="742"/>
    <w:link w:val="741"/>
    <w:uiPriority w:val="99"/>
    <w:rPr>
      <w:rFonts w:ascii="Arial" w:hAnsi="Arial" w:cs="Arial"/>
      <w:i/>
      <w:iCs/>
      <w:sz w:val="21"/>
      <w:szCs w:val="21"/>
    </w:rPr>
  </w:style>
  <w:style w:type="character" w:styleId="796" w:customStyle="1">
    <w:name w:val="Title Char"/>
    <w:basedOn w:val="742"/>
    <w:uiPriority w:val="99"/>
    <w:rPr>
      <w:rFonts w:cs="Times New Roman"/>
      <w:sz w:val="48"/>
      <w:szCs w:val="48"/>
    </w:rPr>
  </w:style>
  <w:style w:type="character" w:styleId="797" w:customStyle="1">
    <w:name w:val="Subtitle Char"/>
    <w:basedOn w:val="742"/>
    <w:uiPriority w:val="99"/>
    <w:rPr>
      <w:rFonts w:cs="Times New Roman"/>
      <w:sz w:val="24"/>
      <w:szCs w:val="24"/>
    </w:rPr>
  </w:style>
  <w:style w:type="character" w:styleId="798" w:customStyle="1">
    <w:name w:val="Quote Char"/>
    <w:uiPriority w:val="99"/>
    <w:rPr>
      <w:i/>
    </w:rPr>
  </w:style>
  <w:style w:type="character" w:styleId="799" w:customStyle="1">
    <w:name w:val="Intense Quote Char"/>
    <w:uiPriority w:val="99"/>
    <w:rPr>
      <w:i/>
    </w:rPr>
  </w:style>
  <w:style w:type="table" w:styleId="80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5">
    <w:name w:val="Hyperlink"/>
    <w:basedOn w:val="742"/>
    <w:uiPriority w:val="99"/>
    <w:rPr>
      <w:rFonts w:cs="Times New Roman"/>
      <w:color w:val="0000FF"/>
      <w:u w:val="single"/>
    </w:rPr>
  </w:style>
  <w:style w:type="paragraph" w:styleId="926">
    <w:name w:val="footnote text"/>
    <w:basedOn w:val="732"/>
    <w:link w:val="927"/>
    <w:uiPriority w:val="99"/>
    <w:semiHidden/>
    <w:rPr>
      <w:sz w:val="18"/>
      <w:szCs w:val="20"/>
      <w:lang w:val="ru-RU" w:eastAsia="ru-RU"/>
    </w:rPr>
    <w:pPr>
      <w:spacing w:after="40"/>
    </w:pPr>
  </w:style>
  <w:style w:type="character" w:styleId="927" w:customStyle="1">
    <w:name w:val="Footnote Text Char1"/>
    <w:basedOn w:val="742"/>
    <w:link w:val="926"/>
    <w:uiPriority w:val="99"/>
    <w:rPr>
      <w:rFonts w:cs="Times New Roman"/>
      <w:sz w:val="18"/>
    </w:rPr>
  </w:style>
  <w:style w:type="character" w:styleId="928">
    <w:name w:val="footnote reference"/>
    <w:basedOn w:val="742"/>
    <w:uiPriority w:val="99"/>
    <w:rPr>
      <w:rFonts w:cs="Times New Roman"/>
      <w:vertAlign w:val="superscript"/>
    </w:rPr>
  </w:style>
  <w:style w:type="paragraph" w:styleId="929">
    <w:name w:val="toc 1"/>
    <w:basedOn w:val="732"/>
    <w:next w:val="732"/>
    <w:uiPriority w:val="99"/>
    <w:pPr>
      <w:spacing w:after="57"/>
    </w:pPr>
  </w:style>
  <w:style w:type="paragraph" w:styleId="930">
    <w:name w:val="toc 2"/>
    <w:basedOn w:val="732"/>
    <w:next w:val="732"/>
    <w:uiPriority w:val="99"/>
    <w:pPr>
      <w:ind w:left="283"/>
      <w:spacing w:after="57"/>
    </w:pPr>
  </w:style>
  <w:style w:type="paragraph" w:styleId="931">
    <w:name w:val="toc 3"/>
    <w:basedOn w:val="732"/>
    <w:next w:val="732"/>
    <w:uiPriority w:val="99"/>
    <w:pPr>
      <w:ind w:left="567"/>
      <w:spacing w:after="57"/>
    </w:pPr>
  </w:style>
  <w:style w:type="paragraph" w:styleId="932">
    <w:name w:val="toc 4"/>
    <w:basedOn w:val="732"/>
    <w:next w:val="732"/>
    <w:uiPriority w:val="99"/>
    <w:pPr>
      <w:ind w:left="850"/>
      <w:spacing w:after="57"/>
    </w:pPr>
  </w:style>
  <w:style w:type="paragraph" w:styleId="933">
    <w:name w:val="toc 5"/>
    <w:basedOn w:val="732"/>
    <w:next w:val="732"/>
    <w:uiPriority w:val="99"/>
    <w:pPr>
      <w:ind w:left="1134"/>
      <w:spacing w:after="57"/>
    </w:pPr>
  </w:style>
  <w:style w:type="paragraph" w:styleId="934">
    <w:name w:val="toc 6"/>
    <w:basedOn w:val="732"/>
    <w:next w:val="732"/>
    <w:uiPriority w:val="99"/>
    <w:pPr>
      <w:ind w:left="1417"/>
      <w:spacing w:after="57"/>
    </w:pPr>
  </w:style>
  <w:style w:type="paragraph" w:styleId="935">
    <w:name w:val="toc 7"/>
    <w:basedOn w:val="732"/>
    <w:next w:val="732"/>
    <w:uiPriority w:val="99"/>
    <w:pPr>
      <w:ind w:left="1701"/>
      <w:spacing w:after="57"/>
    </w:pPr>
  </w:style>
  <w:style w:type="paragraph" w:styleId="936">
    <w:name w:val="toc 8"/>
    <w:basedOn w:val="732"/>
    <w:next w:val="732"/>
    <w:uiPriority w:val="99"/>
    <w:pPr>
      <w:ind w:left="1984"/>
      <w:spacing w:after="57"/>
    </w:pPr>
  </w:style>
  <w:style w:type="paragraph" w:styleId="937">
    <w:name w:val="toc 9"/>
    <w:basedOn w:val="732"/>
    <w:next w:val="732"/>
    <w:uiPriority w:val="99"/>
    <w:pPr>
      <w:ind w:left="2268"/>
      <w:spacing w:after="57"/>
    </w:pPr>
  </w:style>
  <w:style w:type="paragraph" w:styleId="938" w:customStyle="1">
    <w:name w:val="Заголовок 11"/>
    <w:basedOn w:val="732"/>
    <w:next w:val="732"/>
    <w:link w:val="949"/>
    <w:uiPriority w:val="9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939" w:customStyle="1">
    <w:name w:val="Заголовок 21"/>
    <w:basedOn w:val="732"/>
    <w:next w:val="732"/>
    <w:link w:val="950"/>
    <w:uiPriority w:val="99"/>
    <w:semiHidden/>
    <w:rPr>
      <w:rFonts w:ascii="Cambria" w:hAnsi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940" w:customStyle="1">
    <w:name w:val="Заголовок 31"/>
    <w:basedOn w:val="732"/>
    <w:next w:val="732"/>
    <w:link w:val="951"/>
    <w:uiPriority w:val="99"/>
    <w:semiHidden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941" w:customStyle="1">
    <w:name w:val="Заголовок 41"/>
    <w:basedOn w:val="732"/>
    <w:next w:val="732"/>
    <w:link w:val="952"/>
    <w:uiPriority w:val="99"/>
    <w:semiHidden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942" w:customStyle="1">
    <w:name w:val="Заголовок 51"/>
    <w:basedOn w:val="732"/>
    <w:next w:val="732"/>
    <w:link w:val="953"/>
    <w:uiPriority w:val="99"/>
    <w:semiHidden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943" w:customStyle="1">
    <w:name w:val="Заголовок 61"/>
    <w:basedOn w:val="732"/>
    <w:next w:val="732"/>
    <w:link w:val="954"/>
    <w:uiPriority w:val="99"/>
    <w:semiHidden/>
    <w:rPr>
      <w:b/>
      <w:bCs/>
      <w:sz w:val="22"/>
      <w:szCs w:val="22"/>
    </w:rPr>
    <w:pPr>
      <w:spacing w:after="60" w:before="240"/>
      <w:outlineLvl w:val="5"/>
    </w:pPr>
  </w:style>
  <w:style w:type="paragraph" w:styleId="944" w:customStyle="1">
    <w:name w:val="Заголовок 71"/>
    <w:basedOn w:val="732"/>
    <w:next w:val="732"/>
    <w:link w:val="955"/>
    <w:uiPriority w:val="99"/>
    <w:semiHidden/>
    <w:pPr>
      <w:spacing w:after="60" w:before="240"/>
      <w:outlineLvl w:val="6"/>
    </w:pPr>
  </w:style>
  <w:style w:type="paragraph" w:styleId="945" w:customStyle="1">
    <w:name w:val="Заголовок 81"/>
    <w:basedOn w:val="732"/>
    <w:next w:val="732"/>
    <w:link w:val="956"/>
    <w:uiPriority w:val="99"/>
    <w:semiHidden/>
    <w:rPr>
      <w:i/>
      <w:iCs/>
    </w:rPr>
    <w:pPr>
      <w:spacing w:after="60" w:before="240"/>
      <w:outlineLvl w:val="7"/>
    </w:pPr>
  </w:style>
  <w:style w:type="paragraph" w:styleId="946" w:customStyle="1">
    <w:name w:val="Заголовок 91"/>
    <w:basedOn w:val="732"/>
    <w:next w:val="732"/>
    <w:link w:val="957"/>
    <w:uiPriority w:val="99"/>
    <w:semiHidden/>
    <w:rPr>
      <w:rFonts w:ascii="Cambria" w:hAnsi="Cambria"/>
      <w:sz w:val="22"/>
      <w:szCs w:val="22"/>
    </w:rPr>
    <w:pPr>
      <w:spacing w:after="60" w:before="240"/>
      <w:outlineLvl w:val="8"/>
    </w:pPr>
  </w:style>
  <w:style w:type="paragraph" w:styleId="947">
    <w:name w:val="Balloon Text"/>
    <w:basedOn w:val="732"/>
    <w:link w:val="948"/>
    <w:uiPriority w:val="99"/>
    <w:semiHidden/>
    <w:rPr>
      <w:rFonts w:ascii="Tahoma" w:hAnsi="Tahoma" w:cs="Tahoma"/>
      <w:sz w:val="16"/>
      <w:szCs w:val="16"/>
    </w:rPr>
  </w:style>
  <w:style w:type="character" w:styleId="948" w:customStyle="1">
    <w:name w:val="Balloon Text Char"/>
    <w:basedOn w:val="742"/>
    <w:link w:val="947"/>
    <w:uiPriority w:val="99"/>
    <w:semiHidden/>
    <w:rPr>
      <w:rFonts w:ascii="Tahoma" w:hAnsi="Tahoma" w:cs="Tahoma"/>
      <w:sz w:val="16"/>
      <w:szCs w:val="16"/>
    </w:rPr>
  </w:style>
  <w:style w:type="character" w:styleId="949" w:customStyle="1">
    <w:name w:val="Заголовок 1 Знак"/>
    <w:basedOn w:val="742"/>
    <w:link w:val="938"/>
    <w:uiPriority w:val="99"/>
    <w:rPr>
      <w:rFonts w:ascii="Cambria" w:hAnsi="Cambria" w:cs="Times New Roman"/>
      <w:b/>
      <w:bCs/>
      <w:sz w:val="32"/>
      <w:szCs w:val="32"/>
    </w:rPr>
  </w:style>
  <w:style w:type="character" w:styleId="950" w:customStyle="1">
    <w:name w:val="Заголовок 2 Знак"/>
    <w:basedOn w:val="742"/>
    <w:link w:val="939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styleId="951" w:customStyle="1">
    <w:name w:val="Заголовок 3 Знак"/>
    <w:basedOn w:val="742"/>
    <w:link w:val="940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styleId="952" w:customStyle="1">
    <w:name w:val="Заголовок 4 Знак"/>
    <w:basedOn w:val="742"/>
    <w:link w:val="941"/>
    <w:uiPriority w:val="99"/>
    <w:rPr>
      <w:rFonts w:cs="Times New Roman"/>
      <w:b/>
      <w:bCs/>
      <w:sz w:val="28"/>
      <w:szCs w:val="28"/>
    </w:rPr>
  </w:style>
  <w:style w:type="character" w:styleId="953" w:customStyle="1">
    <w:name w:val="Заголовок 5 Знак"/>
    <w:basedOn w:val="742"/>
    <w:link w:val="942"/>
    <w:uiPriority w:val="99"/>
    <w:semiHidden/>
    <w:rPr>
      <w:rFonts w:cs="Times New Roman"/>
      <w:b/>
      <w:bCs/>
      <w:i/>
      <w:iCs/>
      <w:sz w:val="26"/>
      <w:szCs w:val="26"/>
    </w:rPr>
  </w:style>
  <w:style w:type="character" w:styleId="954" w:customStyle="1">
    <w:name w:val="Заголовок 6 Знак"/>
    <w:basedOn w:val="742"/>
    <w:link w:val="943"/>
    <w:uiPriority w:val="99"/>
    <w:semiHidden/>
    <w:rPr>
      <w:rFonts w:cs="Times New Roman"/>
      <w:b/>
      <w:bCs/>
    </w:rPr>
  </w:style>
  <w:style w:type="character" w:styleId="955" w:customStyle="1">
    <w:name w:val="Заголовок 7 Знак"/>
    <w:basedOn w:val="742"/>
    <w:link w:val="944"/>
    <w:uiPriority w:val="99"/>
    <w:semiHidden/>
    <w:rPr>
      <w:rFonts w:cs="Times New Roman"/>
      <w:sz w:val="24"/>
      <w:szCs w:val="24"/>
    </w:rPr>
  </w:style>
  <w:style w:type="character" w:styleId="956" w:customStyle="1">
    <w:name w:val="Заголовок 8 Знак"/>
    <w:basedOn w:val="742"/>
    <w:link w:val="945"/>
    <w:uiPriority w:val="99"/>
    <w:semiHidden/>
    <w:rPr>
      <w:rFonts w:cs="Times New Roman"/>
      <w:i/>
      <w:iCs/>
      <w:sz w:val="24"/>
      <w:szCs w:val="24"/>
    </w:rPr>
  </w:style>
  <w:style w:type="character" w:styleId="957" w:customStyle="1">
    <w:name w:val="Заголовок 9 Знак"/>
    <w:basedOn w:val="742"/>
    <w:link w:val="946"/>
    <w:uiPriority w:val="99"/>
    <w:semiHidden/>
    <w:rPr>
      <w:rFonts w:ascii="Cambria" w:hAnsi="Cambria" w:cs="Times New Roman"/>
    </w:rPr>
  </w:style>
  <w:style w:type="paragraph" w:styleId="958">
    <w:name w:val="Title"/>
    <w:basedOn w:val="732"/>
    <w:next w:val="732"/>
    <w:link w:val="959"/>
    <w:qFormat/>
    <w:uiPriority w:val="99"/>
    <w:rPr>
      <w:rFonts w:ascii="Cambria" w:hAnsi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959" w:customStyle="1">
    <w:name w:val="Title Char1"/>
    <w:basedOn w:val="742"/>
    <w:link w:val="958"/>
    <w:uiPriority w:val="99"/>
    <w:rPr>
      <w:rFonts w:ascii="Cambria" w:hAnsi="Cambria" w:cs="Times New Roman"/>
      <w:b/>
      <w:bCs/>
      <w:sz w:val="32"/>
      <w:szCs w:val="32"/>
    </w:rPr>
  </w:style>
  <w:style w:type="paragraph" w:styleId="960">
    <w:name w:val="Subtitle"/>
    <w:basedOn w:val="732"/>
    <w:next w:val="732"/>
    <w:link w:val="961"/>
    <w:qFormat/>
    <w:uiPriority w:val="99"/>
    <w:rPr>
      <w:rFonts w:ascii="Cambria" w:hAnsi="Cambria"/>
    </w:rPr>
    <w:pPr>
      <w:jc w:val="center"/>
      <w:spacing w:after="60"/>
      <w:outlineLvl w:val="1"/>
    </w:pPr>
  </w:style>
  <w:style w:type="character" w:styleId="961" w:customStyle="1">
    <w:name w:val="Subtitle Char1"/>
    <w:basedOn w:val="742"/>
    <w:link w:val="960"/>
    <w:uiPriority w:val="99"/>
    <w:rPr>
      <w:rFonts w:ascii="Cambria" w:hAnsi="Cambria" w:cs="Times New Roman"/>
      <w:sz w:val="24"/>
      <w:szCs w:val="24"/>
    </w:rPr>
  </w:style>
  <w:style w:type="character" w:styleId="962">
    <w:name w:val="Strong"/>
    <w:basedOn w:val="742"/>
    <w:qFormat/>
    <w:uiPriority w:val="99"/>
    <w:rPr>
      <w:rFonts w:cs="Times New Roman"/>
      <w:b/>
      <w:bCs/>
    </w:rPr>
  </w:style>
  <w:style w:type="character" w:styleId="963">
    <w:name w:val="Emphasis"/>
    <w:basedOn w:val="742"/>
    <w:qFormat/>
    <w:uiPriority w:val="99"/>
    <w:rPr>
      <w:rFonts w:ascii="Calibri" w:hAnsi="Calibri" w:cs="Times New Roman"/>
      <w:b/>
      <w:i/>
      <w:iCs/>
    </w:rPr>
  </w:style>
  <w:style w:type="paragraph" w:styleId="964">
    <w:name w:val="No Spacing"/>
    <w:basedOn w:val="732"/>
    <w:qFormat/>
    <w:uiPriority w:val="99"/>
    <w:rPr>
      <w:sz w:val="32"/>
      <w:szCs w:val="32"/>
    </w:rPr>
  </w:style>
  <w:style w:type="paragraph" w:styleId="965">
    <w:name w:val="List Paragraph"/>
    <w:basedOn w:val="732"/>
    <w:qFormat/>
    <w:uiPriority w:val="99"/>
    <w:pPr>
      <w:contextualSpacing w:val="true"/>
      <w:ind w:left="720"/>
    </w:pPr>
  </w:style>
  <w:style w:type="paragraph" w:styleId="966">
    <w:name w:val="Quote"/>
    <w:basedOn w:val="732"/>
    <w:next w:val="732"/>
    <w:link w:val="967"/>
    <w:qFormat/>
    <w:uiPriority w:val="99"/>
    <w:rPr>
      <w:i/>
    </w:rPr>
  </w:style>
  <w:style w:type="character" w:styleId="967" w:customStyle="1">
    <w:name w:val="Quote Char1"/>
    <w:basedOn w:val="742"/>
    <w:link w:val="966"/>
    <w:uiPriority w:val="99"/>
    <w:rPr>
      <w:rFonts w:cs="Times New Roman"/>
      <w:i/>
      <w:sz w:val="24"/>
      <w:szCs w:val="24"/>
    </w:rPr>
  </w:style>
  <w:style w:type="paragraph" w:styleId="968">
    <w:name w:val="Intense Quote"/>
    <w:basedOn w:val="732"/>
    <w:next w:val="732"/>
    <w:link w:val="969"/>
    <w:qFormat/>
    <w:uiPriority w:val="99"/>
    <w:rPr>
      <w:b/>
      <w:i/>
      <w:sz w:val="22"/>
      <w:szCs w:val="22"/>
    </w:rPr>
    <w:pPr>
      <w:ind w:left="720" w:right="720"/>
    </w:pPr>
  </w:style>
  <w:style w:type="character" w:styleId="969" w:customStyle="1">
    <w:name w:val="Intense Quote Char1"/>
    <w:basedOn w:val="742"/>
    <w:link w:val="968"/>
    <w:uiPriority w:val="99"/>
    <w:rPr>
      <w:rFonts w:cs="Times New Roman"/>
      <w:b/>
      <w:i/>
      <w:sz w:val="24"/>
    </w:rPr>
  </w:style>
  <w:style w:type="character" w:styleId="970">
    <w:name w:val="Subtle Emphasis"/>
    <w:basedOn w:val="742"/>
    <w:qFormat/>
    <w:uiPriority w:val="99"/>
    <w:rPr>
      <w:rFonts w:cs="Times New Roman"/>
      <w:i/>
      <w:color w:val="5A5A5A"/>
    </w:rPr>
  </w:style>
  <w:style w:type="character" w:styleId="971">
    <w:name w:val="Intense Emphasis"/>
    <w:basedOn w:val="742"/>
    <w:qFormat/>
    <w:uiPriority w:val="99"/>
    <w:rPr>
      <w:rFonts w:cs="Times New Roman"/>
      <w:b/>
      <w:i/>
      <w:sz w:val="24"/>
      <w:szCs w:val="24"/>
      <w:u w:val="single"/>
    </w:rPr>
  </w:style>
  <w:style w:type="character" w:styleId="972">
    <w:name w:val="Subtle Reference"/>
    <w:basedOn w:val="742"/>
    <w:qFormat/>
    <w:uiPriority w:val="99"/>
    <w:rPr>
      <w:rFonts w:cs="Times New Roman"/>
      <w:sz w:val="24"/>
      <w:szCs w:val="24"/>
      <w:u w:val="single"/>
    </w:rPr>
  </w:style>
  <w:style w:type="character" w:styleId="973">
    <w:name w:val="Intense Reference"/>
    <w:basedOn w:val="742"/>
    <w:qFormat/>
    <w:uiPriority w:val="99"/>
    <w:rPr>
      <w:rFonts w:cs="Times New Roman"/>
      <w:b/>
      <w:sz w:val="24"/>
      <w:u w:val="single"/>
    </w:rPr>
  </w:style>
  <w:style w:type="character" w:styleId="974">
    <w:name w:val="Book Title"/>
    <w:basedOn w:val="742"/>
    <w:qFormat/>
    <w:uiPriority w:val="99"/>
    <w:rPr>
      <w:rFonts w:ascii="Cambria" w:hAnsi="Cambria" w:cs="Times New Roman"/>
      <w:b/>
      <w:i/>
      <w:sz w:val="24"/>
      <w:szCs w:val="24"/>
    </w:rPr>
  </w:style>
  <w:style w:type="paragraph" w:styleId="975">
    <w:name w:val="TOC Heading"/>
    <w:basedOn w:val="938"/>
    <w:next w:val="732"/>
    <w:qFormat/>
    <w:uiPriority w:val="99"/>
    <w:pPr>
      <w:outlineLvl w:val="9"/>
    </w:pPr>
  </w:style>
  <w:style w:type="table" w:styleId="976">
    <w:name w:val="Table Grid"/>
    <w:basedOn w:val="74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77">
    <w:name w:val="Body Text 2"/>
    <w:basedOn w:val="732"/>
    <w:link w:val="978"/>
    <w:uiPriority w:val="99"/>
    <w:rPr>
      <w:rFonts w:eastAsia="Times New Roman"/>
      <w:sz w:val="22"/>
      <w:szCs w:val="22"/>
      <w:lang w:val="uk-UA" w:eastAsia="uk-UA"/>
    </w:rPr>
    <w:pPr>
      <w:spacing w:lineRule="auto" w:line="480" w:after="120"/>
    </w:pPr>
  </w:style>
  <w:style w:type="character" w:styleId="978" w:customStyle="1">
    <w:name w:val="Body Text 2 Char"/>
    <w:basedOn w:val="742"/>
    <w:link w:val="977"/>
    <w:uiPriority w:val="99"/>
    <w:rPr>
      <w:rFonts w:ascii="Calibri" w:hAnsi="Calibri" w:cs="Times New Roman"/>
      <w:lang w:val="uk-UA" w:bidi="ar-SA" w:eastAsia="uk-UA"/>
    </w:rPr>
  </w:style>
  <w:style w:type="paragraph" w:styleId="979" w:customStyle="1">
    <w:name w:val="Верхній колонтитул1"/>
    <w:basedOn w:val="732"/>
    <w:link w:val="980"/>
    <w:uiPriority w:val="99"/>
    <w:rPr>
      <w:rFonts w:ascii="Times New Roman" w:hAnsi="Times New Roman" w:eastAsia="Times New Roman"/>
      <w:sz w:val="20"/>
      <w:szCs w:val="20"/>
      <w:lang w:val="uk-UA" w:eastAsia="ru-RU"/>
    </w:rPr>
    <w:pPr>
      <w:tabs>
        <w:tab w:val="center" w:pos="4153" w:leader="none"/>
        <w:tab w:val="right" w:pos="8306" w:leader="none"/>
      </w:tabs>
    </w:pPr>
  </w:style>
  <w:style w:type="character" w:styleId="980" w:customStyle="1">
    <w:name w:val="Верхний колонтитул Знак"/>
    <w:basedOn w:val="742"/>
    <w:link w:val="979"/>
    <w:uiPriority w:val="99"/>
    <w:rPr>
      <w:rFonts w:ascii="Times New Roman" w:hAnsi="Times New Roman" w:cs="Times New Roman"/>
      <w:sz w:val="20"/>
      <w:szCs w:val="20"/>
      <w:lang w:val="uk-UA" w:bidi="ar-SA" w:eastAsia="ru-RU"/>
    </w:rPr>
  </w:style>
  <w:style w:type="character" w:styleId="981">
    <w:name w:val="page number"/>
    <w:basedOn w:val="742"/>
    <w:uiPriority w:val="99"/>
    <w:rPr>
      <w:rFonts w:cs="Times New Roman"/>
    </w:rPr>
  </w:style>
  <w:style w:type="paragraph" w:styleId="982" w:customStyle="1">
    <w:name w:val="Нижній колонтитул1"/>
    <w:basedOn w:val="732"/>
    <w:link w:val="983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983" w:customStyle="1">
    <w:name w:val="Нижний колонтитул Знак"/>
    <w:basedOn w:val="742"/>
    <w:link w:val="982"/>
    <w:uiPriority w:val="99"/>
    <w:semiHidden/>
    <w:rPr>
      <w:rFonts w:cs="Times New Roman"/>
      <w:sz w:val="24"/>
      <w:szCs w:val="24"/>
    </w:rPr>
  </w:style>
  <w:style w:type="paragraph" w:styleId="984" w:customStyle="1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985">
    <w:name w:val="Normal (Web)"/>
    <w:basedOn w:val="732"/>
    <w:uiPriority w:val="99"/>
    <w:semiHidden/>
    <w:rPr>
      <w:rFonts w:ascii="Times New Roman" w:hAnsi="Times New Roman" w:eastAsia="Times New Roman"/>
      <w:lang w:val="ru-RU" w:eastAsia="ru-RU"/>
    </w:rPr>
    <w:pPr>
      <w:spacing w:after="100" w:afterAutospacing="1" w:before="100" w:beforeAutospacing="1"/>
    </w:pPr>
  </w:style>
  <w:style w:type="paragraph" w:styleId="986" w:customStyle="1">
    <w:name w:val="docdata"/>
    <w:basedOn w:val="732"/>
    <w:uiPriority w:val="99"/>
    <w:rPr>
      <w:rFonts w:ascii="Times New Roman" w:hAnsi="Times New Roman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hyperlink" Target="https://zakon.rada.gov.ua/laws/show/2102-20" TargetMode="External"/><Relationship Id="rId15" Type="http://schemas.openxmlformats.org/officeDocument/2006/relationships/hyperlink" Target="https://zakon.rada.gov.ua/laws/show/2119-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ПРИМАКОВ Геннадій Анатолійович</cp:lastModifiedBy>
  <cp:revision>28</cp:revision>
  <dcterms:created xsi:type="dcterms:W3CDTF">2022-04-20T08:50:00Z</dcterms:created>
  <dcterms:modified xsi:type="dcterms:W3CDTF">2022-10-27T16:05:41Z</dcterms:modified>
</cp:coreProperties>
</file>