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Додаток  </w:t>
      </w:r>
      <w:r>
        <w:rPr>
          <w:lang w:val="uk-UA"/>
        </w:rPr>
      </w:r>
    </w:p>
    <w:p>
      <w:pPr>
        <w:ind w:left="5669"/>
        <w:jc w:val="both"/>
        <w:spacing w:before="0" w:before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 рішення </w:t>
      </w:r>
      <w:r>
        <w:rPr>
          <w:rFonts w:ascii="Times New Roman" w:hAnsi="Times New Roman"/>
          <w:color w:val="000000"/>
          <w:sz w:val="28"/>
          <w:lang w:val="uk-UA"/>
        </w:rPr>
        <w:t xml:space="preserve">24</w:t>
      </w:r>
      <w:r>
        <w:rPr>
          <w:rFonts w:ascii="Times New Roman" w:hAnsi="Times New Roman"/>
          <w:color w:val="000000"/>
          <w:sz w:val="28"/>
          <w:lang w:val="uk-UA"/>
        </w:rPr>
        <w:t xml:space="preserve"> сесії Менської міської ради 8 скликання </w:t>
      </w:r>
      <w:r>
        <w:rPr>
          <w:lang w:val="uk-UA"/>
        </w:rPr>
      </w:r>
    </w:p>
    <w:p>
      <w:pPr>
        <w:ind w:left="5669"/>
        <w:jc w:val="both"/>
        <w:spacing w:before="0" w:before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26 </w:t>
      </w:r>
      <w:r>
        <w:rPr>
          <w:rFonts w:ascii="Times New Roman" w:hAnsi="Times New Roman"/>
          <w:color w:val="000000"/>
          <w:sz w:val="28"/>
          <w:lang w:val="uk-UA"/>
        </w:rPr>
        <w:t xml:space="preserve">жовтня</w:t>
      </w:r>
      <w:r>
        <w:rPr>
          <w:rFonts w:ascii="Times New Roman" w:hAnsi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lang w:val="uk-UA"/>
        </w:rPr>
        <w:t xml:space="preserve"> року № 351</w:t>
      </w:r>
      <w:r>
        <w:rPr>
          <w:lang w:val="uk-UA"/>
        </w:rPr>
      </w:r>
    </w:p>
    <w:p>
      <w:pPr>
        <w:ind w:left="5669"/>
        <w:spacing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lang w:val="uk-UA"/>
        </w:rPr>
      </w:r>
    </w:p>
    <w:p>
      <w:pPr>
        <w:ind w:left="5664"/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</w:t>
      </w:r>
      <w:r>
        <w:rPr>
          <w:lang w:val="uk-UA"/>
        </w:rPr>
      </w:r>
    </w:p>
    <w:p>
      <w:pPr>
        <w:jc w:val="center"/>
        <w:spacing w:before="0" w:beforeAutospacing="0"/>
        <w:tabs>
          <w:tab w:val="left" w:pos="7367" w:leader="none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>
        <w:rPr>
          <w:lang w:val="uk-UA"/>
        </w:rPr>
      </w:r>
    </w:p>
    <w:p>
      <w:pPr>
        <w:jc w:val="center"/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ЗМІСТ</w:t>
      </w:r>
      <w:r>
        <w:rPr>
          <w:lang w:val="uk-UA"/>
        </w:rPr>
      </w:r>
    </w:p>
    <w:p>
      <w:pPr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>
        <w:trPr>
          <w:trHeight w:val="68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spacing w:before="0" w:beforeAutospacing="0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Паспорт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vAlign w:val="center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</w:tr>
      <w:tr>
        <w:trPr>
          <w:trHeight w:val="39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Визначення проблеми, на розв’язання якої спрямована Програма …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</w:tr>
      <w:tr>
        <w:trPr>
          <w:trHeight w:val="4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Мета Програми………………………………………………………….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</w:tr>
      <w:tr>
        <w:trPr>
          <w:trHeight w:val="70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Обґрунтування шляхів і засобів розв’язання проблеми, обсягів та джерел фінансування, строки виконання Програми……………………….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4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Завдання та результативні показники…………………………………..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</w:tr>
      <w:tr>
        <w:trPr>
          <w:trHeight w:val="6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Координація та контроль за виконанням Програми…………………….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</w:tr>
    </w:tbl>
    <w:p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384"/>
        <w:gridCol w:w="83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spacing w:before="0" w:beforeAutospacing="0"/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 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                  5-7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 забезпечення Програми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иконання заходів з мобілізації, призову на строкову військову службу на території населених пунктів Менської міської  територіальної громади на 2022-2024 роки                                                                                                 8</w:t>
            </w:r>
            <w:r>
              <w:rPr>
                <w:lang w:val="uk-UA"/>
              </w:rPr>
            </w:r>
          </w:p>
        </w:tc>
      </w:tr>
    </w:tbl>
    <w:p>
      <w:pPr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spacing w:before="0" w:beforeAutospacing="0"/>
        <w:tabs>
          <w:tab w:val="left" w:pos="268" w:leader="none"/>
        </w:tabs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>
        <w:rPr>
          <w:lang w:val="uk-UA"/>
        </w:rPr>
      </w:r>
    </w:p>
    <w:p>
      <w:pPr>
        <w:pStyle w:val="899"/>
        <w:numPr>
          <w:ilvl w:val="0"/>
          <w:numId w:val="9"/>
        </w:numPr>
        <w:ind w:left="0"/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>
        <w:rPr>
          <w:lang w:val="uk-UA"/>
        </w:rPr>
      </w:r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38"/>
        <w:gridCol w:w="5671"/>
      </w:tblGrid>
      <w:tr>
        <w:trPr>
          <w:trHeight w:val="48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06.12.1991 №1932-XII Закон України «Про оборону України», </w:t>
            </w:r>
            <w:r>
              <w:rPr>
                <w:lang w:val="uk-UA"/>
              </w:rPr>
            </w:r>
          </w:p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21.10.1993 № 3543-ХІІ </w:t>
            </w:r>
            <w:r>
              <w:rPr>
                <w:lang w:val="uk-UA"/>
              </w:rPr>
            </w:r>
          </w:p>
          <w:p>
            <w:pPr>
              <w:jc w:val="both"/>
              <w:spacing w:before="0" w:beforeAutospacing="0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мобілізацію».</w:t>
            </w:r>
            <w:r>
              <w:rPr>
                <w:lang w:val="uk-UA"/>
              </w:rPr>
            </w:r>
          </w:p>
        </w:tc>
      </w:tr>
      <w:tr>
        <w:trPr>
          <w:trHeight w:val="3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817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Співрозробники 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</w:tr>
      <w:tr>
        <w:trPr>
          <w:trHeight w:val="66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8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</w:tr>
      <w:tr>
        <w:trPr>
          <w:trHeight w:val="5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2022- 2024 рік</w:t>
            </w:r>
            <w:r>
              <w:rPr>
                <w:lang w:val="uk-UA"/>
              </w:rPr>
            </w:r>
          </w:p>
        </w:tc>
      </w:tr>
      <w:tr>
        <w:trPr>
          <w:trHeight w:val="1010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 міської територіальної громади та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інші джерела, не заборонені законодавством</w:t>
            </w:r>
            <w:r>
              <w:rPr>
                <w:lang w:val="uk-UA"/>
              </w:rPr>
            </w:r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>
              <w:rPr>
                <w:lang w:val="uk-UA"/>
              </w:rPr>
            </w:r>
          </w:p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 міської  територіальної громади</w:t>
            </w:r>
            <w:r>
              <w:rPr>
                <w:lang w:val="uk-UA"/>
              </w:rPr>
            </w:r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за програмою – 1678,0 тис. грн. </w:t>
            </w:r>
            <w:r>
              <w:rPr>
                <w:lang w:val="uk-UA"/>
              </w:rPr>
            </w:r>
          </w:p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р. – 985,0 тис. грн.</w:t>
            </w:r>
            <w:r>
              <w:rPr>
                <w:lang w:val="uk-UA"/>
              </w:rPr>
            </w:r>
          </w:p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2023 р. –  593,0 тис. грн.</w:t>
            </w:r>
            <w:r>
              <w:rPr>
                <w:lang w:val="uk-UA"/>
              </w:rPr>
            </w:r>
          </w:p>
          <w:p>
            <w:pPr>
              <w:jc w:val="both"/>
              <w:spacing w:before="0" w:beforeAutospacing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р. – 100,0 тис. грн.</w:t>
            </w:r>
            <w:r>
              <w:rPr>
                <w:lang w:val="uk-UA"/>
              </w:rPr>
            </w:r>
          </w:p>
        </w:tc>
      </w:tr>
    </w:tbl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Визначення проблеми, на розв’язання якої спрямована Програма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виконання заходів з мобілізації, призову на строкову військову службу на території населених пунктів громади, що входять до Менської мі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ської ради на 2022 -2024 роки (далі - Програма) розроблена відповідно до Законів України «Про оборону України», «Про мобілізаційну підготовку та мобілізацію»,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військовий обов’язок і військову службу», Положення про військово-транспортний обов’язок, затвердженого постановою Кабінету Міністрів України від 28 грудня 2000 року №1921 (в редакції постанови Кабінету Міністрів України від 17 червня 2015 року №405).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Програмою передбачено виконання заходів із мобілізації, призову на строкову військов</w:t>
      </w:r>
      <w:r>
        <w:rPr>
          <w:rFonts w:ascii="Times New Roman" w:hAnsi="Times New Roman"/>
          <w:sz w:val="28"/>
          <w:szCs w:val="28"/>
          <w:lang w:val="uk-UA"/>
        </w:rPr>
        <w:t xml:space="preserve">у службу.</w:t>
      </w:r>
      <w:r>
        <w:rPr>
          <w:lang w:val="uk-UA"/>
        </w:rPr>
      </w:r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3.Мета Програми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Основною метою Програми є успішне та своєчасне виконання поставлених перед Менською міською територіальною громадою завдань щодо забезпечення потреб Збройних Сил України людськими та справними комплектними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транспортними </w:t>
      </w:r>
      <w:r>
        <w:rPr>
          <w:rFonts w:ascii="Times New Roman" w:hAnsi="Times New Roman"/>
          <w:sz w:val="28"/>
          <w:szCs w:val="28"/>
          <w:lang w:val="uk-UA"/>
        </w:rPr>
        <w:t xml:space="preserve">ресурсами в умовах особливого періоду, удосконалення теоретичної і практичної підготовки особового складу оперативного резерву військових частин Збройних Сил України.</w:t>
      </w:r>
      <w:r>
        <w:rPr>
          <w:lang w:val="uk-UA"/>
        </w:rPr>
      </w:r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Обґрунтування шляхів і засобів розв’язання проблеми, обсягів та джерел фінансування, строки виконання Програми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потреб Збройних Сил України людськими та справними комплектними транспортними ресурсами в умовах особливого періоду, удосконалення теоретичної і практичної підготовки особового складу оперативного резерву військових частин Збройних Сил України.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Менська міська </w:t>
      </w:r>
      <w:r>
        <w:rPr>
          <w:rFonts w:ascii="Times New Roman" w:hAnsi="Times New Roman"/>
          <w:sz w:val="28"/>
          <w:szCs w:val="28"/>
          <w:lang w:val="uk-UA"/>
        </w:rPr>
        <w:t xml:space="preserve">рада та Перший відділ Корюківського районного територіального центру комплектування та соціальної підтримки. Практична реалізація завдань, визначених Програмою, буде досягатися шляхом фінансування Програми з бюджету Менської міської територіальної громади.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можливостей.</w:t>
      </w:r>
      <w:r>
        <w:rPr>
          <w:lang w:val="uk-UA"/>
        </w:rPr>
      </w:r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5.Завдання та результативні показники виконання Програми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завданням Програми є ство</w:t>
      </w:r>
      <w:r>
        <w:rPr>
          <w:rFonts w:ascii="Times New Roman" w:hAnsi="Times New Roman"/>
          <w:sz w:val="28"/>
          <w:szCs w:val="28"/>
          <w:lang w:val="uk-UA"/>
        </w:rPr>
        <w:t xml:space="preserve">рення належних умов для успішного та своєчасного виконання заходів мобілізації та призову на строкову військову службу по забезпеченню потреб Збройних Сил України у людських ресурсах та справних комплектних транспортних засобах в умовах особливого періоду.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забезпечити успішне та своєчасне виконання завдань щодо забезпечення потреб Збройних Сил України людськими та справними транспортними ресурсами, поставлених виконавцям заходів мобілізації в громаді.</w:t>
      </w:r>
      <w:r>
        <w:rPr>
          <w:lang w:val="uk-UA"/>
        </w:rPr>
      </w:r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6.Координація та контроль за виконання Програми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Менську міську раду та Перший відділ Корюківського районного територіального центру комплектування та соціальної підтримки.</w:t>
      </w:r>
      <w:r>
        <w:rPr>
          <w:lang w:val="uk-UA"/>
        </w:rPr>
      </w:r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та Перший відділ Корюківського районного територіального центру комплектування та соціальної підтримки забезпечують своєчасне та якісне виконання заходів Програми, ефективне і цільове використання бюджетних коштів.</w:t>
      </w:r>
      <w:r>
        <w:rPr>
          <w:lang w:val="uk-UA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  <w:r>
        <w:rPr>
          <w:lang w:val="uk-UA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Сергій ГАЄВОЙ</w:t>
      </w:r>
      <w:r>
        <w:rPr>
          <w:lang w:val="uk-UA"/>
        </w:rPr>
      </w:r>
    </w:p>
    <w:p>
      <w:pPr>
        <w:ind w:left="10065"/>
        <w:jc w:val="both"/>
        <w:spacing w:before="0" w:before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Додаток  </w:t>
      </w:r>
      <w:r>
        <w:rPr>
          <w:rFonts w:ascii="Times New Roman" w:hAnsi="Times New Roman"/>
          <w:color w:val="000000"/>
          <w:sz w:val="28"/>
          <w:lang w:val="uk-UA"/>
        </w:rPr>
        <w:t xml:space="preserve">1</w:t>
      </w:r>
      <w:r>
        <w:rPr>
          <w:lang w:val="uk-UA"/>
        </w:rPr>
      </w:r>
    </w:p>
    <w:p>
      <w:pPr>
        <w:ind w:left="10065"/>
        <w:jc w:val="both"/>
        <w:spacing w:before="0" w:beforeAutospacing="0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>
        <w:rPr>
          <w:lang w:val="uk-UA"/>
        </w:rPr>
      </w:r>
    </w:p>
    <w:p>
      <w:pPr>
        <w:ind w:right="338" w:firstLine="360"/>
        <w:jc w:val="center"/>
        <w:spacing w:before="0" w:beforeAutospacing="0"/>
        <w:rPr>
          <w:rFonts w:ascii="Times New Roman" w:hAnsi="Times New Roman"/>
          <w:b/>
          <w:bCs/>
          <w:spacing w:val="-1"/>
          <w:sz w:val="10"/>
          <w:szCs w:val="10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10"/>
          <w:szCs w:val="10"/>
          <w:lang w:val="uk-UA"/>
        </w:rPr>
      </w:r>
      <w:r>
        <w:rPr>
          <w:lang w:val="uk-UA"/>
        </w:rPr>
      </w:r>
    </w:p>
    <w:p>
      <w:pPr>
        <w:ind w:right="338" w:firstLine="360"/>
        <w:jc w:val="center"/>
        <w:spacing w:before="0" w:beforeAutospacing="0"/>
        <w:rPr>
          <w:rFonts w:ascii="Times New Roman" w:hAnsi="Times New Roman"/>
          <w:b/>
          <w:bCs/>
          <w:spacing w:val="-1"/>
          <w:sz w:val="4"/>
          <w:szCs w:val="4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r>
      <w:r>
        <w:rPr>
          <w:lang w:val="uk-UA"/>
        </w:rPr>
      </w:r>
    </w:p>
    <w:p>
      <w:pPr>
        <w:ind w:right="338" w:firstLine="360"/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</w:t>
      </w:r>
      <w:r>
        <w:rPr>
          <w:lang w:val="uk-UA"/>
        </w:rPr>
      </w:r>
    </w:p>
    <w:p>
      <w:pPr>
        <w:ind w:right="338" w:firstLine="360"/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2022-2024 роки</w:t>
      </w:r>
      <w:r>
        <w:rPr>
          <w:lang w:val="uk-UA"/>
        </w:rPr>
      </w:r>
    </w:p>
    <w:tbl>
      <w:tblPr>
        <w:tblW w:w="15768" w:type="dxa"/>
        <w:tblInd w:w="-6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04"/>
        <w:gridCol w:w="1983"/>
        <w:gridCol w:w="1843"/>
        <w:gridCol w:w="2549"/>
        <w:gridCol w:w="851"/>
        <w:gridCol w:w="996"/>
        <w:gridCol w:w="856"/>
        <w:gridCol w:w="2120"/>
      </w:tblGrid>
      <w:tr>
        <w:trPr>
          <w:trHeight w:val="691"/>
        </w:trPr>
        <w:tc>
          <w:tcPr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№</w:t>
            </w:r>
            <w:r>
              <w:rPr>
                <w:lang w:val="uk-UA"/>
              </w:rPr>
            </w:r>
          </w:p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з/п</w:t>
            </w:r>
            <w:r>
              <w:rPr>
                <w:lang w:val="uk-UA"/>
              </w:rPr>
            </w:r>
          </w:p>
        </w:tc>
        <w:tc>
          <w:tcPr>
            <w:tcW w:w="400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Перелік заходів Програми</w:t>
            </w:r>
            <w:r>
              <w:rPr>
                <w:lang w:val="uk-UA"/>
              </w:rPr>
            </w:r>
          </w:p>
        </w:tc>
        <w:tc>
          <w:tcPr>
            <w:tcW w:w="198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Строк виконання заходів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Виконавці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 фінансування</w:t>
            </w:r>
            <w:r>
              <w:rPr>
                <w:lang w:val="uk-UA"/>
              </w:rPr>
            </w:r>
          </w:p>
        </w:tc>
        <w:tc>
          <w:tcPr>
            <w:gridSpan w:val="3"/>
            <w:tcW w:w="2703" w:type="dxa"/>
            <w:vAlign w:val="center"/>
            <w:vMerge w:val="restart"/>
            <w:textDirection w:val="lrTb"/>
            <w:noWrap/>
          </w:tcPr>
          <w:p>
            <w:pPr>
              <w:ind w:left="-144" w:right="-105" w:firstLine="147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Орієнтовані обсяги фінансування, тис. грн.</w:t>
            </w:r>
            <w:r>
              <w:rPr>
                <w:lang w:val="uk-UA"/>
              </w:rPr>
            </w:r>
          </w:p>
        </w:tc>
        <w:tc>
          <w:tcPr>
            <w:tcW w:w="21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Очікуваний результат</w:t>
            </w:r>
            <w:r>
              <w:rPr>
                <w:lang w:val="uk-UA"/>
              </w:rPr>
            </w:r>
          </w:p>
        </w:tc>
      </w:tr>
      <w:tr>
        <w:trPr>
          <w:trHeight w:val="322"/>
        </w:trPr>
        <w:tc>
          <w:tcPr>
            <w:tcW w:w="566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004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54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2022</w:t>
            </w:r>
            <w:r>
              <w:rPr>
                <w:lang w:val="uk-UA"/>
              </w:rPr>
            </w:r>
          </w:p>
        </w:tc>
        <w:tc>
          <w:tcPr>
            <w:tcW w:w="99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2023</w:t>
            </w:r>
            <w:r>
              <w:rPr>
                <w:lang w:val="uk-UA"/>
              </w:rPr>
            </w:r>
          </w:p>
        </w:tc>
        <w:tc>
          <w:tcPr>
            <w:tcW w:w="85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2024</w:t>
            </w:r>
            <w:r>
              <w:rPr>
                <w:lang w:val="uk-UA"/>
              </w:rPr>
            </w:r>
          </w:p>
        </w:tc>
        <w:tc>
          <w:tcPr>
            <w:tcW w:w="212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1784"/>
        </w:trPr>
        <w:tc>
          <w:tcPr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tcW w:w="400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транспортних засобів у визначені пункти збору для передачі військовим формуванням</w:t>
            </w:r>
            <w:r>
              <w:rPr>
                <w:lang w:val="uk-UA"/>
              </w:rPr>
            </w:r>
          </w:p>
        </w:tc>
        <w:tc>
          <w:tcPr>
            <w:tcW w:w="1983" w:type="dxa"/>
            <w:vAlign w:val="center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2022 -2024 р.р.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textDirection w:val="lrTb"/>
            <w:noWrap/>
          </w:tcPr>
          <w:p>
            <w:pPr>
              <w:ind w:left="-93"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lang w:val="uk-UA"/>
              </w:rPr>
            </w:r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  <w:tc>
          <w:tcPr>
            <w:tcW w:w="856" w:type="dxa"/>
            <w:vAlign w:val="center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W w:w="2120" w:type="dxa"/>
            <w:vAlign w:val="center"/>
            <w:vMerge w:val="restart"/>
            <w:textDirection w:val="lrTb"/>
            <w:noWrap/>
          </w:tcPr>
          <w:p>
            <w:pPr>
              <w:ind w:left="-37" w:right="-105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Успішне та своєчасне виконання заходів мобілізації по забезпеченню потреб Збройних Сил України у людських ресурсах та справних комплектних транспортних засобах в умовах особливого періоду</w:t>
            </w:r>
            <w:r>
              <w:rPr>
                <w:lang w:val="uk-UA"/>
              </w:rPr>
            </w:r>
          </w:p>
        </w:tc>
      </w:tr>
      <w:tr>
        <w:trPr>
          <w:cantSplit/>
          <w:trHeight w:val="1015"/>
        </w:trPr>
        <w:tc>
          <w:tcPr>
            <w:tcW w:w="566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tcW w:w="4004" w:type="dxa"/>
            <w:textDirection w:val="lrTb"/>
            <w:noWrap/>
          </w:tcPr>
          <w:p>
            <w:pPr>
              <w:ind w:right="11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надання послуг з транспортних перевезень військовозобов’язаних, призваних по мобілізації, призовників, військовослужбовц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за контрактом, співробітників правоохоронних органів до пунктів збору, військових частин, для проходження обласної військово-лікарської комісії та у зворотному напрямку, для проведення навчальних зборів, навчань і тренувань з мобілізаційного розгортання</w:t>
            </w:r>
            <w:r>
              <w:rPr>
                <w:lang w:val="uk-UA"/>
              </w:rPr>
            </w:r>
          </w:p>
        </w:tc>
        <w:tc>
          <w:tcPr>
            <w:tcW w:w="1983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2022-2024 р.р.</w:t>
            </w:r>
            <w:r>
              <w:rPr>
                <w:lang w:val="uk-UA"/>
              </w:rPr>
            </w:r>
          </w:p>
        </w:tc>
        <w:tc>
          <w:tcPr>
            <w:tcW w:w="1843" w:type="dxa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  <w:tc>
          <w:tcPr>
            <w:tcW w:w="2549" w:type="dxa"/>
            <w:textDirection w:val="lrTb"/>
            <w:noWrap/>
          </w:tcPr>
          <w:p>
            <w:pPr>
              <w:ind w:left="-93"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lang w:val="uk-UA"/>
              </w:rPr>
            </w:r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700</w:t>
            </w:r>
            <w:r>
              <w:rPr>
                <w:lang w:val="uk-UA"/>
              </w:rPr>
            </w:r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517</w:t>
            </w:r>
            <w:r>
              <w:rPr>
                <w:lang w:val="uk-UA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tcW w:w="4004" w:type="dxa"/>
            <w:textDirection w:val="lrTb"/>
            <w:noWrap/>
          </w:tcPr>
          <w:p>
            <w:pPr>
              <w:ind w:right="11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транспортних послуг з оповіщення, розшуку та збору військовозобов’язаних і призовників на території громади (в т.ч. придбання паливно-мастильних матеріалів)</w:t>
            </w:r>
            <w:r>
              <w:rPr>
                <w:lang w:val="uk-UA"/>
              </w:rPr>
            </w:r>
          </w:p>
        </w:tc>
        <w:tc>
          <w:tcPr>
            <w:tcW w:w="1983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2022-2024 р.р.</w:t>
            </w:r>
            <w:r>
              <w:rPr>
                <w:lang w:val="uk-UA"/>
              </w:rPr>
            </w:r>
          </w:p>
        </w:tc>
        <w:tc>
          <w:tcPr>
            <w:tcW w:w="1843" w:type="dxa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  <w:tc>
          <w:tcPr>
            <w:tcW w:w="2549" w:type="dxa"/>
            <w:textDirection w:val="lrTb"/>
            <w:noWrap/>
          </w:tcPr>
          <w:p>
            <w:pPr>
              <w:ind w:left="-93"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lang w:val="uk-UA"/>
              </w:rPr>
            </w:r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17</w:t>
            </w:r>
            <w:r>
              <w:rPr>
                <w:lang w:val="uk-UA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tcW w:w="4004" w:type="dxa"/>
            <w:textDirection w:val="lrTb"/>
            <w:noWrap/>
          </w:tcPr>
          <w:p>
            <w:pPr>
              <w:ind w:right="11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транспортних послуг для доставки посадових осіб Першого відділу Корюківського районного територіального центру комплекту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вання та соціальної підтримки та соціальної підтримки до населених пунктів громади, підприємств, установ і організацій громади для проведення перевірки військового обліку військовозобов'язаних і призовників та мобілізаційної готовності транспортних засобів</w:t>
            </w:r>
            <w:r>
              <w:rPr>
                <w:lang w:val="uk-UA"/>
              </w:rPr>
            </w:r>
          </w:p>
        </w:tc>
        <w:tc>
          <w:tcPr>
            <w:tcW w:w="1983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 р.р.</w:t>
            </w:r>
            <w:r>
              <w:rPr>
                <w:lang w:val="uk-UA"/>
              </w:rPr>
            </w:r>
          </w:p>
        </w:tc>
        <w:tc>
          <w:tcPr>
            <w:tcW w:w="1843" w:type="dxa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  <w:tc>
          <w:tcPr>
            <w:tcW w:w="2549" w:type="dxa"/>
            <w:textDirection w:val="lrTb"/>
            <w:noWrap/>
          </w:tcPr>
          <w:p>
            <w:pPr>
              <w:ind w:left="-93"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lang w:val="uk-UA"/>
              </w:rPr>
            </w:r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tcW w:w="4004" w:type="dxa"/>
            <w:textDirection w:val="lrTb"/>
            <w:noWrap/>
          </w:tcPr>
          <w:p>
            <w:pPr>
              <w:ind w:right="11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медичних оглядів призовників, військовозобов’язаних, що призиваються на навчальні збори до військових частин, військовозобов’язаних в строки, визначені законодавством</w:t>
            </w:r>
            <w:r>
              <w:rPr>
                <w:lang w:val="uk-UA"/>
              </w:rPr>
            </w:r>
          </w:p>
        </w:tc>
        <w:tc>
          <w:tcPr>
            <w:tcW w:w="1983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2022-2024 р. р.</w:t>
            </w:r>
            <w:r>
              <w:rPr>
                <w:lang w:val="uk-UA"/>
              </w:rPr>
            </w:r>
          </w:p>
        </w:tc>
        <w:tc>
          <w:tcPr>
            <w:tcW w:w="1843" w:type="dxa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lang w:val="uk-UA"/>
              </w:rPr>
            </w:r>
          </w:p>
        </w:tc>
        <w:tc>
          <w:tcPr>
            <w:tcW w:w="2549" w:type="dxa"/>
            <w:textDirection w:val="lrTb"/>
            <w:noWrap/>
          </w:tcPr>
          <w:p>
            <w:pPr>
              <w:ind w:left="-93"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lang w:val="uk-UA"/>
              </w:rPr>
            </w:r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tcW w:w="99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1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</w:tc>
        <w:tc>
          <w:tcPr>
            <w:tcW w:w="2120" w:type="dxa"/>
            <w:textDirection w:val="lrTb"/>
            <w:noWrap/>
          </w:tcPr>
          <w:p>
            <w:pPr>
              <w:ind w:right="12"/>
              <w:jc w:val="both"/>
              <w:spacing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у проведенні заходів щодо призову на військову службу та навчальні збори</w:t>
            </w:r>
            <w:r>
              <w:rPr>
                <w:lang w:val="uk-UA"/>
              </w:rPr>
            </w:r>
          </w:p>
        </w:tc>
      </w:tr>
      <w:tr>
        <w:trPr>
          <w:trHeight w:val="330"/>
        </w:trPr>
        <w:tc>
          <w:tcPr>
            <w:gridSpan w:val="5"/>
            <w:tcW w:w="10945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Усього:</w:t>
            </w:r>
            <w:r>
              <w:rPr>
                <w:lang w:val="uk-UA"/>
              </w:rPr>
            </w:r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985</w:t>
            </w:r>
            <w:r>
              <w:rPr>
                <w:lang w:val="uk-UA"/>
              </w:rPr>
            </w:r>
          </w:p>
        </w:tc>
        <w:tc>
          <w:tcPr>
            <w:tcW w:w="996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593</w:t>
            </w:r>
            <w:r>
              <w:rPr>
                <w:lang w:val="uk-UA"/>
              </w:rPr>
            </w:r>
          </w:p>
        </w:tc>
        <w:tc>
          <w:tcPr>
            <w:tcW w:w="856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</w:tc>
        <w:tc>
          <w:tcPr>
            <w:tcW w:w="2120" w:type="dxa"/>
            <w:textDirection w:val="lrTb"/>
            <w:noWrap/>
          </w:tcPr>
          <w:p>
            <w:pPr>
              <w:ind w:right="12"/>
              <w:spacing w:before="0" w:beforeAutospacing="0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spacing w:before="0" w:before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br w:type="page"/>
      </w:r>
      <w:r>
        <w:rPr>
          <w:lang w:val="uk-UA"/>
        </w:rPr>
      </w:r>
    </w:p>
    <w:p>
      <w:pPr>
        <w:ind w:left="10065"/>
        <w:jc w:val="both"/>
        <w:spacing w:before="0" w:before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Додаток  </w:t>
      </w:r>
      <w:r>
        <w:rPr>
          <w:rFonts w:ascii="Times New Roman" w:hAnsi="Times New Roman"/>
          <w:color w:val="000000"/>
          <w:sz w:val="28"/>
          <w:lang w:val="uk-UA"/>
        </w:rPr>
        <w:t xml:space="preserve">2</w:t>
      </w:r>
      <w:r>
        <w:rPr>
          <w:lang w:val="uk-UA"/>
        </w:rPr>
      </w:r>
    </w:p>
    <w:p>
      <w:pPr>
        <w:ind w:left="10065"/>
        <w:jc w:val="both"/>
        <w:spacing w:before="0" w:beforeAutospacing="0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>
        <w:rPr>
          <w:lang w:val="uk-UA"/>
        </w:rPr>
      </w:r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</w:t>
      </w:r>
      <w:r>
        <w:rPr>
          <w:lang w:val="uk-UA"/>
        </w:rPr>
      </w:r>
    </w:p>
    <w:p>
      <w:pPr>
        <w:ind w:right="11"/>
        <w:jc w:val="center"/>
        <w:spacing w:before="0" w:beforeAutospacing="0"/>
        <w:shd w:val="clear" w:color="FFFFFF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</w:t>
      </w:r>
      <w:r>
        <w:rPr>
          <w:lang w:val="uk-UA"/>
        </w:rPr>
      </w:r>
    </w:p>
    <w:p>
      <w:pPr>
        <w:ind w:right="11"/>
        <w:jc w:val="center"/>
        <w:spacing w:before="0" w:beforeAutospacing="0"/>
        <w:shd w:val="clear" w:color="FFFFFF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2022-2024 роки</w:t>
      </w:r>
      <w:r>
        <w:rPr>
          <w:lang w:val="uk-UA"/>
        </w:rPr>
      </w:r>
    </w:p>
    <w:tbl>
      <w:tblPr>
        <w:tblW w:w="0" w:type="auto"/>
        <w:jc w:val="center"/>
        <w:tblInd w:w="-195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lang w:val="uk-UA"/>
              </w:rPr>
            </w:r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витрат на виконання Програми, тис. гривень</w:t>
            </w:r>
            <w:r>
              <w:rPr>
                <w:lang w:val="uk-UA"/>
              </w:rPr>
            </w:r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 на 2022-2024  роки</w:t>
            </w:r>
            <w:r>
              <w:rPr>
                <w:lang w:val="uk-UA"/>
              </w:rPr>
            </w:r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1678,0</w:t>
            </w:r>
            <w:r>
              <w:rPr>
                <w:lang w:val="uk-UA"/>
              </w:rPr>
            </w:r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spacing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 міської територіальної громади на 2022-2024 роки</w:t>
            </w:r>
            <w:r>
              <w:rPr>
                <w:lang w:val="uk-UA"/>
              </w:rPr>
            </w:r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spacing w:before="0" w:before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1678,0</w:t>
            </w:r>
            <w:r>
              <w:rPr>
                <w:lang w:val="uk-UA"/>
              </w:rPr>
            </w:r>
          </w:p>
        </w:tc>
      </w:tr>
    </w:tbl>
    <w:p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sectPr>
      <w:headerReference w:type="default" r:id="rId12"/>
      <w:headerReference w:type="even" r:id="rId13"/>
      <w:footnotePr/>
      <w:endnotePr/>
      <w:type w:val="nextPage"/>
      <w:pgSz w:w="16838" w:h="11906" w:orient="landscape"/>
      <w:pgMar w:top="709" w:right="709" w:bottom="567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62"/>
      </w:rPr>
      <w:framePr w:w="170" w:wrap="around" w:vAnchor="text" w:hAnchor="margin" w:xAlign="center" w:y="1"/>
    </w:pPr>
    <w:r>
      <w:rPr>
        <w:rStyle w:val="962"/>
      </w:rPr>
      <w:fldChar w:fldCharType="begin"/>
    </w:r>
    <w:r>
      <w:rPr>
        <w:rStyle w:val="962"/>
      </w:rPr>
      <w:instrText xml:space="preserve">PAGE  </w:instrText>
    </w:r>
    <w:r>
      <w:rPr>
        <w:rStyle w:val="962"/>
      </w:rPr>
      <w:fldChar w:fldCharType="separate"/>
    </w:r>
    <w:r>
      <w:rPr>
        <w:rStyle w:val="962"/>
      </w:rPr>
      <w:t xml:space="preserve">4</w:t>
    </w:r>
    <w:r>
      <w:rPr>
        <w:rStyle w:val="962"/>
      </w:rPr>
      <w:fldChar w:fldCharType="end"/>
    </w:r>
    <w:r/>
  </w:p>
  <w:p>
    <w:pPr>
      <w:pStyle w:val="960"/>
      <w:tabs>
        <w:tab w:val="left" w:pos="2544" w:leader="none"/>
        <w:tab w:val="clear" w:pos="4153" w:leader="none"/>
        <w:tab w:val="center" w:pos="4819" w:leader="none"/>
        <w:tab w:val="clear" w:pos="8306" w:leader="none"/>
      </w:tabs>
      <w:rPr>
        <w:i/>
        <w:sz w:val="24"/>
      </w:rPr>
    </w:pPr>
    <w:r>
      <w:tab/>
    </w:r>
    <w:r>
      <w:tab/>
      <w:t xml:space="preserve">                                          </w:t>
    </w:r>
    <w:r>
      <w:rPr>
        <w:i/>
        <w:sz w:val="24"/>
      </w:rPr>
      <w:t xml:space="preserve">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62"/>
      </w:rPr>
      <w:framePr w:wrap="around" w:vAnchor="text" w:hAnchor="margin" w:xAlign="center" w:y="1"/>
    </w:pPr>
    <w:r>
      <w:rPr>
        <w:rStyle w:val="962"/>
      </w:rPr>
      <w:fldChar w:fldCharType="begin"/>
    </w:r>
    <w:r>
      <w:rPr>
        <w:rStyle w:val="962"/>
      </w:rPr>
      <w:instrText xml:space="preserve">PAGE  </w:instrText>
    </w:r>
    <w:r>
      <w:rPr>
        <w:rStyle w:val="962"/>
      </w:rPr>
      <w:fldChar w:fldCharType="separate"/>
    </w:r>
    <w:r>
      <w:rPr>
        <w:rStyle w:val="962"/>
      </w:rPr>
      <w:t xml:space="preserve">6</w:t>
    </w:r>
    <w:r>
      <w:rPr>
        <w:rStyle w:val="962"/>
      </w:rPr>
      <w:fldChar w:fldCharType="end"/>
    </w:r>
    <w:r/>
  </w:p>
  <w:p>
    <w:pPr>
      <w:pStyle w:val="9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jc w:val="center"/>
    </w:pPr>
    <w:fldSimple w:instr="PAGE \* MERGEFORMAT">
      <w:r>
        <w:t xml:space="preserve">1</w:t>
      </w:r>
    </w:fldSimple>
    <w:r/>
    <w:r/>
  </w:p>
  <w:p>
    <w:pPr>
      <w:pStyle w:val="96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62"/>
      </w:rPr>
      <w:framePr w:wrap="around" w:vAnchor="text" w:hAnchor="margin" w:xAlign="center" w:y="1"/>
    </w:pPr>
    <w:r>
      <w:rPr>
        <w:rStyle w:val="962"/>
      </w:rPr>
      <w:fldChar w:fldCharType="begin"/>
    </w:r>
    <w:r>
      <w:rPr>
        <w:rStyle w:val="962"/>
      </w:rPr>
      <w:instrText xml:space="preserve">PAGE  </w:instrText>
    </w:r>
    <w:r>
      <w:rPr>
        <w:rStyle w:val="962"/>
      </w:rPr>
      <w:fldChar w:fldCharType="separate"/>
    </w:r>
    <w:r>
      <w:rPr>
        <w:rStyle w:val="962"/>
      </w:rPr>
      <w:t xml:space="preserve">8</w:t>
    </w:r>
    <w:r>
      <w:rPr>
        <w:rStyle w:val="962"/>
      </w:rPr>
      <w:fldChar w:fldCharType="end"/>
    </w:r>
    <w:r/>
  </w:p>
  <w:p>
    <w:pPr>
      <w:pStyle w:val="960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62"/>
      </w:rPr>
      <w:framePr w:wrap="around" w:vAnchor="text" w:hAnchor="margin" w:xAlign="center" w:y="1"/>
    </w:pPr>
    <w:r>
      <w:rPr>
        <w:rStyle w:val="962"/>
      </w:rPr>
      <w:fldChar w:fldCharType="begin"/>
    </w:r>
    <w:r>
      <w:rPr>
        <w:rStyle w:val="962"/>
      </w:rPr>
      <w:instrText xml:space="preserve">PAGE  </w:instrText>
    </w:r>
    <w:r>
      <w:rPr>
        <w:rStyle w:val="962"/>
      </w:rPr>
      <w:fldChar w:fldCharType="end"/>
    </w:r>
    <w:r/>
  </w:p>
  <w:p>
    <w:pPr>
      <w:pStyle w:val="9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9" w:hanging="357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5539" w:hanging="357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6259" w:hanging="177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979" w:hanging="357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7699" w:hanging="357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8419" w:hanging="177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9139" w:hanging="357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9859" w:hanging="357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10579" w:hanging="177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57"/>
        <w:tabs>
          <w:tab w:val="left" w:pos="427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7"/>
        <w:tabs>
          <w:tab w:val="left" w:pos="1068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7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>
    <w:name w:val="Heading 4"/>
    <w:basedOn w:val="757"/>
    <w:next w:val="757"/>
    <w:link w:val="8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1">
    <w:name w:val="Heading 5"/>
    <w:basedOn w:val="757"/>
    <w:next w:val="757"/>
    <w:link w:val="8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2">
    <w:name w:val="Heading 6"/>
    <w:basedOn w:val="757"/>
    <w:next w:val="757"/>
    <w:link w:val="8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3">
    <w:name w:val="Heading 7"/>
    <w:basedOn w:val="757"/>
    <w:next w:val="757"/>
    <w:link w:val="8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4">
    <w:name w:val="Heading 8"/>
    <w:basedOn w:val="757"/>
    <w:next w:val="757"/>
    <w:link w:val="8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5">
    <w:name w:val="Heading 9"/>
    <w:basedOn w:val="757"/>
    <w:next w:val="757"/>
    <w:link w:val="8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6">
    <w:name w:val="Footer"/>
    <w:basedOn w:val="757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7" w:default="1">
    <w:name w:val="Normal"/>
    <w:qFormat/>
    <w:rPr>
      <w:lang w:eastAsia="en-US"/>
    </w:rPr>
  </w:style>
  <w:style w:type="paragraph" w:styleId="758">
    <w:name w:val="Heading 1"/>
    <w:basedOn w:val="757"/>
    <w:next w:val="757"/>
    <w:link w:val="949"/>
    <w:qFormat/>
    <w:uiPriority w:val="99"/>
    <w:rPr>
      <w:rFonts w:ascii="Times New Roman" w:hAnsi="Times New Roman" w:eastAsia="Batang"/>
      <w:b/>
      <w:sz w:val="20"/>
      <w:szCs w:val="20"/>
      <w:lang w:eastAsia="ru-RU"/>
    </w:rPr>
    <w:pPr>
      <w:jc w:val="center"/>
      <w:keepNext/>
      <w:outlineLvl w:val="0"/>
    </w:pPr>
  </w:style>
  <w:style w:type="paragraph" w:styleId="759">
    <w:name w:val="Heading 2"/>
    <w:basedOn w:val="757"/>
    <w:next w:val="757"/>
    <w:link w:val="950"/>
    <w:qFormat/>
    <w:uiPriority w:val="99"/>
    <w:rPr>
      <w:rFonts w:ascii="Arial" w:hAnsi="Arial" w:eastAsia="Batang"/>
      <w:b/>
      <w:i/>
      <w:sz w:val="28"/>
      <w:szCs w:val="20"/>
      <w:lang w:eastAsia="ru-RU"/>
    </w:rPr>
    <w:pPr>
      <w:keepNext/>
      <w:spacing w:after="60" w:before="240"/>
      <w:outlineLvl w:val="1"/>
    </w:pPr>
  </w:style>
  <w:style w:type="paragraph" w:styleId="760">
    <w:name w:val="Heading 3"/>
    <w:basedOn w:val="757"/>
    <w:next w:val="757"/>
    <w:link w:val="959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character" w:styleId="761" w:default="1">
    <w:name w:val="Default Paragraph Font"/>
    <w:uiPriority w:val="99"/>
    <w:semiHidden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link w:val="884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65" w:customStyle="1">
    <w:name w:val="Heading 2 Char"/>
    <w:basedOn w:val="761"/>
    <w:link w:val="885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66" w:customStyle="1">
    <w:name w:val="Heading 3 Char"/>
    <w:basedOn w:val="761"/>
    <w:link w:val="886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67" w:customStyle="1">
    <w:name w:val="Title Char"/>
    <w:basedOn w:val="761"/>
    <w:link w:val="901"/>
    <w:uiPriority w:val="99"/>
    <w:rPr>
      <w:rFonts w:cs="Times New Roman"/>
      <w:sz w:val="48"/>
      <w:szCs w:val="48"/>
    </w:rPr>
  </w:style>
  <w:style w:type="character" w:styleId="768" w:customStyle="1">
    <w:name w:val="Subtitle Char"/>
    <w:basedOn w:val="761"/>
    <w:link w:val="903"/>
    <w:uiPriority w:val="99"/>
    <w:rPr>
      <w:rFonts w:cs="Times New Roman"/>
      <w:sz w:val="24"/>
      <w:szCs w:val="24"/>
    </w:rPr>
  </w:style>
  <w:style w:type="character" w:styleId="769" w:customStyle="1">
    <w:name w:val="Quote Char"/>
    <w:uiPriority w:val="99"/>
    <w:rPr>
      <w:i/>
    </w:rPr>
  </w:style>
  <w:style w:type="character" w:styleId="770" w:customStyle="1">
    <w:name w:val="Intense Quote Char"/>
    <w:uiPriority w:val="99"/>
    <w:rPr>
      <w:i/>
    </w:rPr>
  </w:style>
  <w:style w:type="paragraph" w:styleId="771">
    <w:name w:val="Caption"/>
    <w:basedOn w:val="757"/>
    <w:next w:val="757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72" w:customStyle="1">
    <w:name w:val="Caption Char"/>
    <w:uiPriority w:val="99"/>
  </w:style>
  <w:style w:type="table" w:styleId="77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9" w:customStyle="1">
    <w:name w:val="Footnote Text Char"/>
    <w:uiPriority w:val="99"/>
    <w:rPr>
      <w:sz w:val="18"/>
    </w:rPr>
  </w:style>
  <w:style w:type="paragraph" w:styleId="880">
    <w:name w:val="endnote text"/>
    <w:basedOn w:val="757"/>
    <w:link w:val="881"/>
    <w:uiPriority w:val="99"/>
    <w:semiHidden/>
    <w:rPr>
      <w:sz w:val="20"/>
      <w:szCs w:val="20"/>
      <w:lang w:eastAsia="ru-RU"/>
    </w:rPr>
  </w:style>
  <w:style w:type="character" w:styleId="881" w:customStyle="1">
    <w:name w:val="Endnote Text Char"/>
    <w:basedOn w:val="761"/>
    <w:link w:val="880"/>
    <w:uiPriority w:val="99"/>
    <w:rPr>
      <w:rFonts w:cs="Times New Roman"/>
      <w:sz w:val="20"/>
    </w:rPr>
  </w:style>
  <w:style w:type="character" w:styleId="882">
    <w:name w:val="endnote reference"/>
    <w:basedOn w:val="761"/>
    <w:uiPriority w:val="99"/>
    <w:semiHidden/>
    <w:rPr>
      <w:rFonts w:cs="Times New Roman"/>
      <w:vertAlign w:val="superscript"/>
    </w:rPr>
  </w:style>
  <w:style w:type="paragraph" w:styleId="883">
    <w:name w:val="table of figures"/>
    <w:basedOn w:val="757"/>
    <w:next w:val="757"/>
    <w:uiPriority w:val="99"/>
  </w:style>
  <w:style w:type="paragraph" w:styleId="884" w:customStyle="1">
    <w:name w:val="Heading 11"/>
    <w:link w:val="764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85" w:customStyle="1">
    <w:name w:val="Heading 21"/>
    <w:link w:val="765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86" w:customStyle="1">
    <w:name w:val="Heading 31"/>
    <w:link w:val="766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87" w:customStyle="1">
    <w:name w:val="Heading 41"/>
    <w:link w:val="888"/>
    <w:uiPriority w:val="99"/>
    <w:rPr>
      <w:rFonts w:ascii="Arial" w:hAnsi="Arial"/>
      <w:b/>
      <w:sz w:val="26"/>
    </w:rPr>
    <w:pPr>
      <w:keepLines/>
      <w:keepNext/>
      <w:spacing w:after="200" w:before="320"/>
      <w:outlineLvl w:val="3"/>
    </w:pPr>
  </w:style>
  <w:style w:type="character" w:styleId="888" w:customStyle="1">
    <w:name w:val="Heading 4 Char"/>
    <w:link w:val="887"/>
    <w:uiPriority w:val="99"/>
    <w:rPr>
      <w:rFonts w:ascii="Arial" w:hAnsi="Arial"/>
      <w:b/>
      <w:sz w:val="22"/>
    </w:rPr>
  </w:style>
  <w:style w:type="paragraph" w:styleId="889" w:customStyle="1">
    <w:name w:val="Heading 51"/>
    <w:link w:val="890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character" w:styleId="890" w:customStyle="1">
    <w:name w:val="Heading 5 Char"/>
    <w:link w:val="889"/>
    <w:uiPriority w:val="99"/>
    <w:rPr>
      <w:rFonts w:ascii="Arial" w:hAnsi="Arial"/>
      <w:b/>
      <w:sz w:val="22"/>
    </w:rPr>
  </w:style>
  <w:style w:type="paragraph" w:styleId="891" w:customStyle="1">
    <w:name w:val="Heading 61"/>
    <w:link w:val="892"/>
    <w:uiPriority w:val="99"/>
    <w:rPr>
      <w:rFonts w:ascii="Arial" w:hAnsi="Arial"/>
      <w:b/>
    </w:rPr>
    <w:pPr>
      <w:keepLines/>
      <w:keepNext/>
      <w:spacing w:after="200" w:before="320"/>
      <w:outlineLvl w:val="5"/>
    </w:pPr>
  </w:style>
  <w:style w:type="character" w:styleId="892" w:customStyle="1">
    <w:name w:val="Heading 6 Char"/>
    <w:link w:val="891"/>
    <w:uiPriority w:val="99"/>
    <w:rPr>
      <w:rFonts w:ascii="Arial" w:hAnsi="Arial"/>
      <w:b/>
      <w:sz w:val="22"/>
    </w:rPr>
  </w:style>
  <w:style w:type="paragraph" w:styleId="893" w:customStyle="1">
    <w:name w:val="Heading 71"/>
    <w:link w:val="894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character" w:styleId="894" w:customStyle="1">
    <w:name w:val="Heading 7 Char"/>
    <w:link w:val="893"/>
    <w:uiPriority w:val="99"/>
    <w:rPr>
      <w:rFonts w:ascii="Arial" w:hAnsi="Arial"/>
      <w:b/>
      <w:i/>
      <w:sz w:val="22"/>
    </w:rPr>
  </w:style>
  <w:style w:type="paragraph" w:styleId="895" w:customStyle="1">
    <w:name w:val="Heading 81"/>
    <w:link w:val="896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character" w:styleId="896" w:customStyle="1">
    <w:name w:val="Heading 8 Char"/>
    <w:link w:val="895"/>
    <w:uiPriority w:val="99"/>
    <w:rPr>
      <w:rFonts w:ascii="Arial" w:hAnsi="Arial"/>
      <w:i/>
      <w:sz w:val="22"/>
    </w:rPr>
  </w:style>
  <w:style w:type="paragraph" w:styleId="897" w:customStyle="1">
    <w:name w:val="Heading 91"/>
    <w:link w:val="898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character" w:styleId="898" w:customStyle="1">
    <w:name w:val="Heading 9 Char"/>
    <w:link w:val="897"/>
    <w:uiPriority w:val="99"/>
    <w:rPr>
      <w:rFonts w:ascii="Arial" w:hAnsi="Arial"/>
      <w:i/>
      <w:sz w:val="22"/>
    </w:rPr>
  </w:style>
  <w:style w:type="paragraph" w:styleId="899">
    <w:name w:val="List Paragraph"/>
    <w:basedOn w:val="757"/>
    <w:qFormat/>
    <w:uiPriority w:val="99"/>
    <w:pPr>
      <w:contextualSpacing w:val="true"/>
      <w:ind w:left="720"/>
    </w:pPr>
  </w:style>
  <w:style w:type="paragraph" w:styleId="900">
    <w:name w:val="No Spacing"/>
    <w:qFormat/>
    <w:uiPriority w:val="99"/>
    <w:rPr>
      <w:lang w:eastAsia="en-US"/>
    </w:rPr>
  </w:style>
  <w:style w:type="paragraph" w:styleId="901">
    <w:name w:val="Title"/>
    <w:basedOn w:val="757"/>
    <w:link w:val="90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902" w:customStyle="1">
    <w:name w:val="Title Char1"/>
    <w:basedOn w:val="761"/>
    <w:link w:val="901"/>
    <w:uiPriority w:val="99"/>
    <w:rPr>
      <w:rFonts w:cs="Times New Roman"/>
      <w:sz w:val="48"/>
    </w:rPr>
  </w:style>
  <w:style w:type="paragraph" w:styleId="903">
    <w:name w:val="Subtitle"/>
    <w:basedOn w:val="757"/>
    <w:link w:val="904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904" w:customStyle="1">
    <w:name w:val="Subtitle Char1"/>
    <w:basedOn w:val="761"/>
    <w:link w:val="903"/>
    <w:uiPriority w:val="99"/>
    <w:rPr>
      <w:rFonts w:cs="Times New Roman"/>
      <w:sz w:val="24"/>
    </w:rPr>
  </w:style>
  <w:style w:type="paragraph" w:styleId="905">
    <w:name w:val="Quote"/>
    <w:basedOn w:val="757"/>
    <w:link w:val="906"/>
    <w:qFormat/>
    <w:uiPriority w:val="99"/>
    <w:rPr>
      <w:i/>
      <w:sz w:val="20"/>
      <w:szCs w:val="20"/>
      <w:lang w:eastAsia="ru-RU"/>
    </w:rPr>
    <w:pPr>
      <w:ind w:left="720" w:right="720"/>
    </w:pPr>
  </w:style>
  <w:style w:type="character" w:styleId="906" w:customStyle="1">
    <w:name w:val="Quote Char1"/>
    <w:basedOn w:val="761"/>
    <w:link w:val="905"/>
    <w:uiPriority w:val="99"/>
    <w:rPr>
      <w:rFonts w:cs="Times New Roman"/>
      <w:i/>
      <w:sz w:val="22"/>
      <w:lang w:val="ru-RU" w:eastAsia="en-US"/>
    </w:rPr>
  </w:style>
  <w:style w:type="paragraph" w:styleId="907">
    <w:name w:val="Intense Quote"/>
    <w:basedOn w:val="757"/>
    <w:link w:val="908"/>
    <w:qFormat/>
    <w:uiPriority w:val="99"/>
    <w:rPr>
      <w:i/>
      <w:sz w:val="20"/>
      <w:szCs w:val="20"/>
      <w:lang w:eastAsia="ru-RU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8" w:customStyle="1">
    <w:name w:val="Intense Quote Char1"/>
    <w:basedOn w:val="761"/>
    <w:link w:val="907"/>
    <w:uiPriority w:val="99"/>
    <w:rPr>
      <w:rFonts w:cs="Times New Roman"/>
      <w:i/>
      <w:sz w:val="22"/>
      <w:shd w:val="clear" w:color="F2F2F2" w:fill="F2F2F2"/>
      <w:lang w:val="ru-RU" w:eastAsia="en-US"/>
    </w:rPr>
  </w:style>
  <w:style w:type="paragraph" w:styleId="909" w:customStyle="1">
    <w:name w:val="Header1"/>
    <w:link w:val="91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0" w:customStyle="1">
    <w:name w:val="Header Char"/>
    <w:link w:val="909"/>
    <w:uiPriority w:val="99"/>
    <w:rPr>
      <w:sz w:val="22"/>
      <w:lang w:val="ru-RU" w:eastAsia="en-US"/>
    </w:rPr>
  </w:style>
  <w:style w:type="paragraph" w:styleId="911" w:customStyle="1">
    <w:name w:val="Footer1"/>
    <w:link w:val="912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2" w:customStyle="1">
    <w:name w:val="Footer Char"/>
    <w:link w:val="911"/>
    <w:uiPriority w:val="99"/>
    <w:rPr>
      <w:sz w:val="22"/>
      <w:lang w:val="ru-RU" w:eastAsia="en-US"/>
    </w:rPr>
  </w:style>
  <w:style w:type="table" w:styleId="913">
    <w:name w:val="Table Grid"/>
    <w:basedOn w:val="762"/>
    <w:uiPriority w:val="99"/>
    <w:rPr>
      <w:sz w:val="20"/>
      <w:szCs w:val="20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ned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Bordered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8" w:customStyle="1">
    <w:name w:val="Bordered &amp; Lined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35">
    <w:name w:val="Hyperlink"/>
    <w:basedOn w:val="761"/>
    <w:uiPriority w:val="99"/>
    <w:rPr>
      <w:rFonts w:cs="Times New Roman"/>
      <w:color w:val="0000FF"/>
      <w:u w:val="single"/>
    </w:rPr>
  </w:style>
  <w:style w:type="paragraph" w:styleId="936">
    <w:name w:val="footnote text"/>
    <w:basedOn w:val="757"/>
    <w:link w:val="937"/>
    <w:uiPriority w:val="99"/>
    <w:semiHidden/>
    <w:rPr>
      <w:sz w:val="18"/>
      <w:szCs w:val="20"/>
      <w:lang w:eastAsia="ru-RU"/>
    </w:rPr>
    <w:pPr>
      <w:spacing w:after="40"/>
    </w:pPr>
  </w:style>
  <w:style w:type="character" w:styleId="937" w:customStyle="1">
    <w:name w:val="Footnote Text Char1"/>
    <w:basedOn w:val="761"/>
    <w:link w:val="936"/>
    <w:uiPriority w:val="99"/>
    <w:semiHidden/>
    <w:rPr>
      <w:rFonts w:cs="Times New Roman"/>
      <w:sz w:val="22"/>
    </w:rPr>
  </w:style>
  <w:style w:type="character" w:styleId="938">
    <w:name w:val="footnote reference"/>
    <w:basedOn w:val="761"/>
    <w:uiPriority w:val="99"/>
    <w:rPr>
      <w:rFonts w:cs="Times New Roman"/>
      <w:vertAlign w:val="superscript"/>
    </w:rPr>
  </w:style>
  <w:style w:type="paragraph" w:styleId="939">
    <w:name w:val="toc 1"/>
    <w:basedOn w:val="757"/>
    <w:uiPriority w:val="99"/>
    <w:pPr>
      <w:spacing w:after="57"/>
    </w:pPr>
  </w:style>
  <w:style w:type="paragraph" w:styleId="940">
    <w:name w:val="toc 2"/>
    <w:basedOn w:val="757"/>
    <w:uiPriority w:val="99"/>
    <w:pPr>
      <w:ind w:left="283"/>
      <w:spacing w:after="57"/>
    </w:pPr>
  </w:style>
  <w:style w:type="paragraph" w:styleId="941">
    <w:name w:val="toc 3"/>
    <w:basedOn w:val="757"/>
    <w:uiPriority w:val="99"/>
    <w:pPr>
      <w:ind w:left="567"/>
      <w:spacing w:after="57"/>
    </w:pPr>
  </w:style>
  <w:style w:type="paragraph" w:styleId="942">
    <w:name w:val="toc 4"/>
    <w:basedOn w:val="757"/>
    <w:uiPriority w:val="99"/>
    <w:pPr>
      <w:ind w:left="850"/>
      <w:spacing w:after="57"/>
    </w:pPr>
  </w:style>
  <w:style w:type="paragraph" w:styleId="943">
    <w:name w:val="toc 5"/>
    <w:basedOn w:val="757"/>
    <w:uiPriority w:val="99"/>
    <w:pPr>
      <w:ind w:left="1134"/>
      <w:spacing w:after="57"/>
    </w:pPr>
  </w:style>
  <w:style w:type="paragraph" w:styleId="944">
    <w:name w:val="toc 6"/>
    <w:basedOn w:val="757"/>
    <w:uiPriority w:val="99"/>
    <w:pPr>
      <w:ind w:left="1417"/>
      <w:spacing w:after="57"/>
    </w:pPr>
  </w:style>
  <w:style w:type="paragraph" w:styleId="945">
    <w:name w:val="toc 7"/>
    <w:basedOn w:val="757"/>
    <w:uiPriority w:val="99"/>
    <w:pPr>
      <w:ind w:left="1701"/>
      <w:spacing w:after="57"/>
    </w:pPr>
  </w:style>
  <w:style w:type="paragraph" w:styleId="946">
    <w:name w:val="toc 8"/>
    <w:basedOn w:val="757"/>
    <w:uiPriority w:val="99"/>
    <w:pPr>
      <w:ind w:left="1984"/>
      <w:spacing w:after="57"/>
    </w:pPr>
  </w:style>
  <w:style w:type="paragraph" w:styleId="947">
    <w:name w:val="toc 9"/>
    <w:basedOn w:val="757"/>
    <w:uiPriority w:val="99"/>
    <w:pPr>
      <w:ind w:left="2268"/>
      <w:spacing w:after="57"/>
    </w:pPr>
  </w:style>
  <w:style w:type="paragraph" w:styleId="948">
    <w:name w:val="TOC Heading"/>
    <w:basedOn w:val="758"/>
    <w:qFormat/>
    <w:uiPriority w:val="99"/>
    <w:rPr>
      <w:rFonts w:ascii="Calibri" w:hAnsi="Calibri" w:eastAsia="Times New Roman"/>
      <w:b w:val="false"/>
      <w:sz w:val="22"/>
      <w:szCs w:val="22"/>
      <w:lang w:eastAsia="en-US"/>
    </w:rPr>
    <w:pPr>
      <w:jc w:val="left"/>
      <w:keepNext w:val="false"/>
      <w:outlineLvl w:val="9"/>
    </w:pPr>
  </w:style>
  <w:style w:type="character" w:styleId="949" w:customStyle="1">
    <w:name w:val="Heading 1 Char1"/>
    <w:link w:val="758"/>
    <w:uiPriority w:val="99"/>
    <w:rPr>
      <w:rFonts w:ascii="Times New Roman" w:hAnsi="Times New Roman" w:eastAsia="Batang"/>
      <w:b/>
      <w:sz w:val="20"/>
      <w:lang w:eastAsia="ru-RU"/>
    </w:rPr>
  </w:style>
  <w:style w:type="character" w:styleId="950" w:customStyle="1">
    <w:name w:val="Heading 2 Char1"/>
    <w:link w:val="759"/>
    <w:uiPriority w:val="99"/>
    <w:rPr>
      <w:rFonts w:ascii="Arial" w:hAnsi="Arial" w:eastAsia="Batang"/>
      <w:b/>
      <w:i/>
      <w:sz w:val="28"/>
      <w:lang w:eastAsia="ru-RU"/>
    </w:rPr>
  </w:style>
  <w:style w:type="paragraph" w:styleId="951">
    <w:name w:val="Body Text"/>
    <w:basedOn w:val="757"/>
    <w:link w:val="952"/>
    <w:uiPriority w:val="99"/>
    <w:rPr>
      <w:rFonts w:ascii="Times New Roman" w:hAnsi="Times New Roman" w:eastAsia="Batang"/>
      <w:b/>
      <w:sz w:val="28"/>
      <w:szCs w:val="20"/>
      <w:lang w:eastAsia="ru-RU"/>
    </w:rPr>
    <w:pPr>
      <w:jc w:val="both"/>
    </w:pPr>
  </w:style>
  <w:style w:type="character" w:styleId="952" w:customStyle="1">
    <w:name w:val="Body Text Char"/>
    <w:basedOn w:val="761"/>
    <w:link w:val="951"/>
    <w:uiPriority w:val="99"/>
    <w:rPr>
      <w:rFonts w:ascii="Times New Roman" w:hAnsi="Times New Roman" w:cs="Times New Roman" w:eastAsia="Batang"/>
      <w:b/>
      <w:sz w:val="20"/>
      <w:lang w:eastAsia="ru-RU"/>
    </w:rPr>
  </w:style>
  <w:style w:type="paragraph" w:styleId="953">
    <w:name w:val="Balloon Text"/>
    <w:basedOn w:val="757"/>
    <w:link w:val="954"/>
    <w:uiPriority w:val="99"/>
    <w:semiHidden/>
    <w:rPr>
      <w:rFonts w:ascii="Tahoma" w:hAnsi="Tahoma"/>
      <w:sz w:val="16"/>
      <w:szCs w:val="16"/>
      <w:lang w:eastAsia="ru-RU"/>
    </w:rPr>
  </w:style>
  <w:style w:type="character" w:styleId="954" w:customStyle="1">
    <w:name w:val="Balloon Text Char"/>
    <w:basedOn w:val="761"/>
    <w:link w:val="953"/>
    <w:uiPriority w:val="99"/>
    <w:semiHidden/>
    <w:rPr>
      <w:rFonts w:ascii="Tahoma" w:hAnsi="Tahoma" w:cs="Times New Roman"/>
      <w:sz w:val="16"/>
    </w:rPr>
  </w:style>
  <w:style w:type="paragraph" w:styleId="955">
    <w:name w:val="Normal (Web)"/>
    <w:basedOn w:val="757"/>
    <w:uiPriority w:val="99"/>
    <w:rPr>
      <w:rFonts w:ascii="Times New Roman" w:hAnsi="Times New Roman"/>
      <w:sz w:val="24"/>
      <w:szCs w:val="24"/>
      <w:lang w:eastAsia="ru-RU"/>
    </w:rPr>
    <w:pPr>
      <w:spacing w:after="117" w:before="59"/>
    </w:pPr>
  </w:style>
  <w:style w:type="character" w:styleId="956">
    <w:name w:val="Strong"/>
    <w:basedOn w:val="761"/>
    <w:qFormat/>
    <w:uiPriority w:val="99"/>
    <w:rPr>
      <w:rFonts w:cs="Times New Roman"/>
      <w:b/>
    </w:rPr>
  </w:style>
  <w:style w:type="paragraph" w:styleId="957">
    <w:name w:val="Body Text 2"/>
    <w:basedOn w:val="757"/>
    <w:link w:val="958"/>
    <w:uiPriority w:val="99"/>
    <w:semiHidden/>
    <w:rPr>
      <w:lang w:eastAsia="ru-RU"/>
    </w:rPr>
    <w:pPr>
      <w:spacing w:lineRule="auto" w:line="480" w:after="120"/>
    </w:pPr>
  </w:style>
  <w:style w:type="character" w:styleId="958" w:customStyle="1">
    <w:name w:val="Body Text 2 Char"/>
    <w:basedOn w:val="761"/>
    <w:link w:val="957"/>
    <w:uiPriority w:val="99"/>
    <w:semiHidden/>
    <w:rPr>
      <w:rFonts w:cs="Times New Roman"/>
      <w:sz w:val="22"/>
    </w:rPr>
  </w:style>
  <w:style w:type="character" w:styleId="959" w:customStyle="1">
    <w:name w:val="Heading 3 Char1"/>
    <w:link w:val="760"/>
    <w:uiPriority w:val="99"/>
    <w:semiHidden/>
    <w:rPr>
      <w:rFonts w:ascii="Cambria" w:hAnsi="Cambria"/>
      <w:b/>
      <w:sz w:val="26"/>
      <w:lang w:eastAsia="ru-RU"/>
    </w:rPr>
  </w:style>
  <w:style w:type="paragraph" w:styleId="960">
    <w:name w:val="Header"/>
    <w:basedOn w:val="757"/>
    <w:link w:val="961"/>
    <w:uiPriority w:val="99"/>
    <w:rPr>
      <w:rFonts w:ascii="Times New Roman" w:hAnsi="Times New Roman"/>
      <w:sz w:val="20"/>
      <w:szCs w:val="20"/>
      <w:lang w:eastAsia="ru-RU"/>
    </w:rPr>
    <w:pPr>
      <w:tabs>
        <w:tab w:val="center" w:pos="4153" w:leader="none"/>
        <w:tab w:val="right" w:pos="8306" w:leader="none"/>
      </w:tabs>
    </w:pPr>
  </w:style>
  <w:style w:type="character" w:styleId="961" w:customStyle="1">
    <w:name w:val="Header Char1"/>
    <w:basedOn w:val="761"/>
    <w:link w:val="960"/>
    <w:uiPriority w:val="99"/>
    <w:rPr>
      <w:rFonts w:ascii="Times New Roman" w:hAnsi="Times New Roman" w:cs="Times New Roman"/>
      <w:lang w:eastAsia="ru-RU"/>
    </w:rPr>
  </w:style>
  <w:style w:type="character" w:styleId="962">
    <w:name w:val="page number"/>
    <w:basedOn w:val="761"/>
    <w:uiPriority w:val="99"/>
    <w:rPr>
      <w:rFonts w:cs="Times New Roman"/>
    </w:rPr>
  </w:style>
  <w:style w:type="paragraph" w:styleId="963">
    <w:name w:val="Body Text Indent"/>
    <w:basedOn w:val="757"/>
    <w:link w:val="964"/>
    <w:uiPriority w:val="99"/>
    <w:rPr>
      <w:rFonts w:ascii="Times New Roman" w:hAnsi="Times New Roman" w:eastAsia="Batang"/>
      <w:sz w:val="20"/>
      <w:szCs w:val="20"/>
      <w:lang w:eastAsia="ru-RU"/>
    </w:rPr>
    <w:pPr>
      <w:ind w:left="283"/>
      <w:spacing w:after="120"/>
    </w:pPr>
  </w:style>
  <w:style w:type="character" w:styleId="964" w:customStyle="1">
    <w:name w:val="Body Text Indent Char"/>
    <w:basedOn w:val="761"/>
    <w:link w:val="963"/>
    <w:uiPriority w:val="99"/>
    <w:rPr>
      <w:rFonts w:ascii="Times New Roman" w:hAnsi="Times New Roman" w:cs="Times New Roman" w:eastAsia="Batang"/>
      <w:lang w:eastAsia="ru-RU"/>
    </w:rPr>
  </w:style>
  <w:style w:type="character" w:styleId="965" w:customStyle="1">
    <w:name w:val="apple-converted-space"/>
    <w:basedOn w:val="761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30</cp:revision>
  <dcterms:created xsi:type="dcterms:W3CDTF">2021-11-05T12:00:00Z</dcterms:created>
  <dcterms:modified xsi:type="dcterms:W3CDTF">2022-10-27T15:53:21Z</dcterms:modified>
</cp:coreProperties>
</file>