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5244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Додаток</w:t>
            </w:r>
            <w:r>
              <w:rPr>
                <w:color w:val="000000" w:themeColor="text1"/>
              </w:rPr>
            </w:r>
          </w:p>
          <w:p>
            <w:pPr>
              <w:ind w:left="5244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до рішення 24 сесії Менської міської ради 8 скликання </w:t>
            </w:r>
            <w:r>
              <w:rPr>
                <w:color w:val="000000" w:themeColor="text1"/>
              </w:rPr>
            </w:r>
          </w:p>
          <w:p>
            <w:pPr>
              <w:ind w:left="5244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26 жовтня 2022 року № 359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color w:val="000000" w:themeColor="text1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t xml:space="preserve">Видача дозволу опікуну на вчинення правочинів щодо укладення договорів, які підлягають нотаріальному посвідченню та(або) державній реєстрації, у тому числі договорів щодо поділу або обміну житлового будинку, квартири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  <w:u w:val="singl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431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13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14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дитини – 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документів підтверджуючих про встановлення опіки;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Копії документів, які підтверджують право власності на житловий будинок, квартиру;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Відомості про місце реєстрації дитини-сироти,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spacing w:lineRule="auto" w:line="240" w:after="0" w:afterAutospacing="0" w:before="0" w:beforeAutospacing="0"/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t xml:space="preserve"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</w:r>
      <w:r>
        <w:rPr>
          <w:color w:val="000000" w:themeColor="text1"/>
        </w:rPr>
      </w:r>
    </w:p>
    <w:p>
      <w:pPr>
        <w:ind w:left="6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№</w:t>
            </w:r>
            <w:r>
              <w:rPr>
                <w:color w:val="000000" w:themeColor="text1"/>
                <w:sz w:val="22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п/п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Дія</w:t>
            </w:r>
            <w:r>
              <w:rPr>
                <w:color w:val="000000" w:themeColor="text1"/>
                <w:sz w:val="22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 </w:t>
            </w:r>
            <w:r>
              <w:rPr>
                <w:color w:val="000000" w:themeColor="text1"/>
                <w:sz w:val="22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Термін виконання (днів)</w:t>
            </w:r>
            <w:r>
              <w:rPr>
                <w:color w:val="000000" w:themeColor="text1"/>
                <w:sz w:val="22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spacing w:lineRule="auto" w:line="240" w:after="0" w:afterAutospacing="0" w:before="0" w:beforeAutospacing="0"/>
        <w:shd w:val="nil"/>
        <w:tabs>
          <w:tab w:val="clear" w:pos="709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t xml:space="preserve">Видача дозволу опікуну на вчинення правочинів щодо відмови від майнових прав підопічного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  <w:u w:val="singl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  <w:u w:val="singl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15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16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4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4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4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дитини – 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4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документів підтверджуючих про встановлення опіки;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4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Копії документів, які підтверджують право власності на житловий будинок, квартиру;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4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Відомості про місце реєстрації дитини-сироти,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spacing w:lineRule="auto" w:line="240" w:after="0" w:afterAutospacing="0" w:before="0" w:beforeAutospacing="0"/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Видача дозволу опікуну на вчинення правочинів щодо відмови від майнових прав підопічного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   Служба у справах дітей Менської міської ради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t xml:space="preserve">Видача дозволу опікуну на вчинення правочинів стосовно укладення договорів щодо іншого цінного майна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  <w:u w:val="singl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  <w:u w:val="singl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 Служба у справах дітей Менської міської ради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17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18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дитини – 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документів підтверджуючих про встановлення опіки;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Копії документів, які підтверджують право власності на житловий будинок, квартиру;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Відомості про місце реєстрації дитини-сироти,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806" w:leader="none"/>
        </w:tabs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Видача дозволу опікуну на вчинення правочинів стосовно укладення договорів щодо іншого цінного майна</w: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Служба у справах дітей Менської міської ради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  <w:t xml:space="preserve">Видача дозволу опікуну на вчинення правочинів щодо видання письмових зобов’язань від імені підопічного</w:t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u w:val="singl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   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19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20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6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6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6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shd w:val="nil"/>
        <w:tabs>
          <w:tab w:val="clear" w:pos="709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  <w:tab w:val="left" w:pos="3420" w:leader="none"/>
              </w:tabs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Видача дозволу опікуну на вчинення правочинів щодо видання письмових зобов’язань від імені підопічного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shd w:val="clear" w:color="FFFFFF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Служба у справах дітей Менської міської ради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(згоди) про проведення психіатричного огляду або надання психіатричної допомоги особі віком до 14 років у разі незгоди  одного з батьків або за відсутності батьків 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21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22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психіатричну допомогу»,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дитини – 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документів підтверджуючих  встановлення опіки;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Копії документів, які підтверджують право власності на житловий будинок, квартиру;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Відомості про місце реєстрації дитини-сироти, дитини, позбавленої батьківського піклування;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tabs>
                <w:tab w:val="clear" w:pos="709" w:leader="none"/>
                <w:tab w:val="left" w:pos="3420" w:leader="none"/>
              </w:tabs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(згоди) про проведення психіатричного огляду або надання психіатричної допомоги особі віком до 14 років у разі незгоди  одного з батьків або за відсутності батьків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942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 </w:t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Надання статусу дитини, яка постраждала внаслідок воєнних дій та збройних конфліктів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23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24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психіатричну допомогу»,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9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довідки про взяття на облік внутрішньо переміщеної особи;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19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Відомості про місце реєстрацію малолітньої дитини.</w:t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Надання статусу дитини, яка постраждала внаслідок воєнних дій та збройних конфліктів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встановлення опіки, піклування над дитиною-сиротою або дитиною, позбавленою батьківського піклування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25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26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Довідка про доходи за останні шість місяців заявника;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Документ, що підтверджує право власності або користування житловим приміщення;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Висновок про стан здоров’я заявника та дитини за встановленою формою;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від нарколога та психіатра для осіб, які проживають разом із заявником;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про наявність чи відсутність судимості.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встановлення опіки, піклування над дитиною-сиротою або дитиною, позбавленою батьківського піклування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надання дозволу на спілкування батьків з дитиною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27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28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забезпечення організаційно-правових умов соціального захисту дітей-сиріт та дітей, позбавлених батьківського піклування»,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7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7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7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7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Довідка про реєстрацію місця проживання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shd w:val="nil"/>
        <w:tabs>
          <w:tab w:val="clear" w:pos="709" w:leader="none"/>
        </w:tabs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надання дозволу на спілкування батьків з дитиною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надання неповнолітнім особам повної цивільної дієздатності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29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30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8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8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8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Свідоцтво про шлюб.</w:t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надання неповнолітнім особам повної цивільної дієздатності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створення прийомної сім’ї</w: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31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32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забезпечення  організаційно-правових умов соціального захисту дітей-сиріт та дітей, позбавлених батьківського піклування»,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дитини»;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26.04.2002 р. № 565 «Про затвердження Положення про прийомну сім’ю»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9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9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свідоцтва про шлюб (для осіб які перебувають у шлюбі);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Довідка про доходи за останні шість місяців заявника;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Документ, що підтверджує право власності або користування житловим приміщення;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Висновок про стан здоров’я заявника за встановленою формою;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від нарколога та психіатра для осіб, які проживають разом із заявником;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про наявність чи відсутність судимості.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29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про проходження курсу навчання з виховання дітей-сиріт, дітей, позбавлених батьківського піклування.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створення прийомної сім’ї 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створення та забезпечення функціонування дитячого будинку сімейного типу</w: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33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34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забезпечення  організаційно-правових умов соціального захисту дітей-сиріт та дітей, позбавлених батьківського піклування»,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1223" w:leader="none"/>
              </w:tabs>
              <w:rPr>
                <w:color w:val="000000" w:themeColor="text1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дитини»;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26.04.2002 р. № 564 «Про затвердження Положення про дитячий будинок сімейного типу»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1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1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1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1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свідоцтва про шлюб (для осіб які перебувають у шлюбі);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Довідка про доходи за останні шість місяців заявника;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Документ, що підтверджує право власності або користування житловим приміщення;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Висновок про стан здоров’я заявника за встановленою формою;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від нарколога та психіатра для осіб, які проживають разом із заявником;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про наявність чи відсутність судимості.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1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про проходження курсу навчання з виховання дітей-сиріт, дітей, позбавлених батьківського піклування.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створення та забезпечення функціонування дитячого будинку сімейного типу</w: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припинення функціонування прийомної сім’ї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35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36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забезпечення  організаційно-правових умов соціального захисту дітей-сиріт та дітей, позбавлених батьківського піклування»,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дитини»;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26.04.2002 р. № 565 «Про затвердження Положення про прийомну сім’ю»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3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3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3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Довідка про закінчення навчання або інші документи, які підтверджують необхідність виведення дитини/особи з сім’ї. </w:t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припинення функціонування прийомної сім’ї 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продовження функціонування прийомної сім’ї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37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38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забезпечення  організаційно-правових умов соціального захисту дітей-сиріт та дітей, позбавлених батьківського піклування»,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1223" w:leader="none"/>
              </w:tabs>
              <w:rPr>
                <w:color w:val="000000" w:themeColor="text1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дитини»;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26.04.2002 р. № 565 «Про затвердження Положення про прийомну сім’ю»</w:t>
            </w:r>
            <w:r>
              <w:rPr>
                <w:color w:val="000000" w:themeColor="text1"/>
                <w:highlight w:val="none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5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5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6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Довідка про доходи за останні шість місяців заявника;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6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Висновок про стан здоров’я заявника за встановленою формою;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6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від нарколога та психіатра для осіб, які проживають разом із заявником;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5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про проходження курсу навчання з виховання дітей-сиріт, дітей, позбавлених батьківського піклування.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продовження функціонування прийомної сім’ї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визначення місця проживання (перебування) дитини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39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40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органи і служби у справах дітей та спеціальні установи для дітей»,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забезпечення  організаційно-правових умов соціального захисту дітей-сиріт та дітей, позбавлених батьківського піклування»,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1223" w:leader="none"/>
              </w:tabs>
              <w:rPr>
                <w:color w:val="000000" w:themeColor="text1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дитини»; 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7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7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7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8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довідки про місце реєстрації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8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Копія підтверджуючих документів про розірвання шлюбу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.</w:t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визначення місця проживання (перебування) дитини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доцільність цілодобового перебування дитини в закладі, який здійснює інституційний догляд і виховання дітей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41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42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органи і служби у справах дітей та спеціальні установи для дітей»,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забезпечення  організаційно-правових умов соціального захисту дітей-сиріт та дітей, позбавлених батьківського піклування»,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1223" w:leader="none"/>
              </w:tabs>
              <w:rPr>
                <w:color w:val="000000" w:themeColor="text1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дитини»;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КМУ від 01.06.2020 р. №586 «Деякі питання захисту дітей в умовах боротьби з наслідками гострої, респіраторної хвороби COVID-19, спричиненої коронавірусом SARS-CoV-2»,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3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9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39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довідки про місце реєстрації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0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Копія підтверджуючих документів про потребу перебування в закладі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.</w:t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доцільність цілодобового перебування дитини в закладі, який здійснює інституційний догляд і виховання дітей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70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№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п/п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Дія</w:t>
            </w:r>
            <w:r>
              <w:rPr>
                <w:color w:val="000000" w:themeColor="text1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Термін виконання (днів)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ІНФОРМАЦІЙНА КАРТКА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доцільність (недоцільність) позбавлення батьківських прав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537"/>
        <w:gridCol w:w="535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Інформація про суб’єкта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Місцезнаходження: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7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15600, Чернігівська область, м. Мена, вул. Героїв АТО, 6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Інформація щодо режиму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роботи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Понеділок, вівторок, середа: 08:30-16:30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Четвер: 08:30-20:00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П’ятниця, субота: 08:30-15:30</w:t>
            </w:r>
            <w:r>
              <w:rPr>
                <w:color w:val="000000" w:themeColor="text1"/>
              </w:rPr>
            </w:r>
          </w:p>
          <w:p>
            <w:pPr>
              <w:ind w:left="-108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Вихідний: неділя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Телефон/факс (довідки),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адреса електронної пошти та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Тел. (04644)2-16-81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e-mail:</w:t>
            </w:r>
            <w:hyperlink r:id="rId43" w:tooltip="mailto:cnapradamena@cg.gov.ua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cnapradamena@cg.gov.ua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Веб-сайт: </w:t>
            </w:r>
            <w:hyperlink r:id="rId44" w:tooltip="http://mena.cg.gov.ua/" w:history="1">
              <w:r>
                <w:rPr>
                  <w:rStyle w:val="920"/>
                  <w:rFonts w:ascii="Times New Roman" w:hAnsi="Times New Roman" w:cs="Times New Roman" w:eastAsia="Times New Roman"/>
                  <w:color w:val="000000" w:themeColor="text1"/>
                  <w:sz w:val="24"/>
                  <w:u w:val="single"/>
                </w:rPr>
                <w:t xml:space="preserve">http://mena.cg.gov.ua/</w:t>
              </w:r>
            </w:hyperlink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>
          <w:trHeight w:val="89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Закони України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Закон України «Про охорону дитинства»,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Цивільний кодекс України, Закон України «Про місцеве самоврядування в України», Сімейний кодекс України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Акти Кабінету Міністрів України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clear" w:pos="709" w:leader="none"/>
                <w:tab w:val="left" w:pos="1223" w:leader="none"/>
              </w:tabs>
              <w:rPr>
                <w:color w:val="000000" w:themeColor="text1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Постанова Кабінету Міністрів України від 29.09.2008 р. № 866 «Питання діяльності органу опіки та піклування, пов’язаної з захистом прав дитини».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Умови отримання адміністративної послуги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Підстава для одержання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Звернення зацікавленої особи;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 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документів, необхідних для отримання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адміністративної  послуги, а також вимоги до них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41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Заява;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1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паспорта;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1"/>
              </w:numPr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ідентифікаційного номера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і);</w:t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1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Копію свідоцтва про народження (паспорт) малолітньої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Копія довідки про місце реєстрації дитини;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з навчального закладу;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numPr>
                <w:ilvl w:val="0"/>
                <w:numId w:val="42"/>
              </w:num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Довідка про сплату аліментів.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color w:val="000000" w:themeColor="text1"/>
              </w:rPr>
            </w:r>
          </w:p>
          <w:p>
            <w:pPr>
              <w:ind w:lef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У разі, коли до заяви не додані всі необхідні документи, або надані документи оформлені не належним чином, вони повинні бути подані додатково не пізніше ніж у двотижневий термін із дня подання заяви.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Документи подаються особисто або через уповноважену особу.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Платність (безоплатність)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Безоплатно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Строк надання адміністративної послуги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 протязі 30 днів з дня подачі заяви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11.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Перелік підстав для відмови у наданні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Надано неповний пакет документів;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Місцем проживання особи не є Менська територіальна громада.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12.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Результат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Способи отримання відповіді (результату)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Отримання копії рішення виконавчого комітету у адміністратора відділу «Центр надання адміністративних послуг»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14.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3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Примітка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-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center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shd w:val="nil"/>
        <w:tabs>
          <w:tab w:val="clear" w:pos="709" w:leader="none"/>
        </w:tabs>
        <w:rPr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</w:r>
    </w:p>
    <w:p>
      <w:pPr>
        <w:ind w:left="-107" w:right="0" w:firstLine="0"/>
        <w:jc w:val="center"/>
        <w:spacing w:lineRule="auto" w:line="240" w:after="0" w:afterAutospacing="0" w:before="0" w:beforeAutospacing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4"/>
        </w:rPr>
        <w:t xml:space="preserve">ТЕХНОЛОГІЧНА КАРТКА АДМІНІСТРАТИВНОЇ ПОСЛУГИ</w:t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80" w:type="dxa"/>
              <w:top w:w="0" w:type="dxa"/>
              <w:right w:w="180" w:type="dxa"/>
              <w:bottom w:w="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  <w:t xml:space="preserve">Прийняття рішення про доцільність (недоцільність) позбавлення батьківських прав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u w:val="single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3420" w:leader="none"/>
        </w:tabs>
        <w:rPr>
          <w:rFonts w:ascii="Times New Roman" w:hAnsi="Times New Roman" w:cs="Times New Roman" w:eastAsia="Times New Roman"/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                                       Служба у справах дітей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</w:r>
      <w:r>
        <w:rPr>
          <w:color w:val="000000" w:themeColor="text1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914"/>
        <w:gridCol w:w="2329"/>
        <w:gridCol w:w="817"/>
        <w:gridCol w:w="1942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№</w:t>
            </w:r>
            <w:r>
              <w:rPr>
                <w:color w:val="000000" w:themeColor="text1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п/п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highlight w:val="white"/>
              </w:rPr>
              <w:t xml:space="preserve">Етапи опрацювання звернення про надання адміністративної послуги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highlight w:val="white"/>
              </w:rPr>
              <w:t xml:space="preserve">Відповідальна особа в залежності від суб’єкта до якого звернувся заявник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Дія</w:t>
            </w:r>
            <w:r>
              <w:rPr>
                <w:color w:val="000000" w:themeColor="text1"/>
                <w:sz w:val="24"/>
              </w:rPr>
            </w:r>
          </w:p>
          <w:p>
            <w:pPr>
              <w:ind w:left="403" w:right="0" w:hanging="402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2"/>
              </w:rPr>
              <w:t xml:space="preserve"> </w:t>
            </w:r>
            <w:r>
              <w:rPr>
                <w:color w:val="000000" w:themeColor="text1"/>
                <w:sz w:val="24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</w:rPr>
              <w:t xml:space="preserve">Термін виконання (днів)</w:t>
            </w:r>
            <w:r>
              <w:rPr>
                <w:color w:val="000000" w:themeColor="text1"/>
                <w:sz w:val="24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Формування адміністративної справи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Передача пакету документів службі у справах дітей Менської міської ради для ознайомлення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 дня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4 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3 днів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5 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Винесення заяви на розгляд комісії з питань захисту прав дитини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1-3 днів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66 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Підготовка проєкту рішення виконавчого комітету 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Служби у справах дітей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 10 днів до чергового засідання виконкому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7 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Розгляд питання на засіданні виконавчого комітету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Виконавчий комітет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Відповідно до плану засідань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8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письмово обґрунтованої відповіді про відмову щодо звернення.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Посадова особа Служби у справах дітей </w:t>
            </w: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 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29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9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-107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Надання рішення виконавчого комітету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адміністратор ЦНАП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Протягом</w:t>
            </w:r>
            <w:r>
              <w:rPr>
                <w:color w:val="000000" w:themeColor="text1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 днів з дати звернення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10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Механізм оскарження результату надання адміністративної послуги</w:t>
            </w:r>
            <w:r>
              <w:rPr>
                <w:color w:val="000000" w:themeColor="text1"/>
              </w:rPr>
            </w:r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органу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відносно того органу, що вирішив справу.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надання послуги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  <w:tr>
        <w:trPr>
          <w:trHeight w:val="148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Загальна кількість днів (передбачена законодавством)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4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color w:val="000000" w:themeColor="text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</w:rPr>
              <w:t xml:space="preserve">30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6803" w:leader="none"/>
        </w:tabs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Начальник Служби у справах дітей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color w:val="000000" w:themeColor="text1"/>
        </w:rPr>
      </w:r>
    </w:p>
    <w:p>
      <w:pPr>
        <w:ind w:left="0" w:right="0" w:firstLine="0"/>
        <w:jc w:val="left"/>
        <w:spacing w:lineRule="auto" w:line="240" w:after="0" w:afterAutospacing="0" w:before="0" w:beforeAutospacing="0"/>
        <w:tabs>
          <w:tab w:val="clear" w:pos="709" w:leader="none"/>
          <w:tab w:val="left" w:pos="6803" w:leader="none"/>
        </w:tabs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Менської міської ради</w:t>
        <w:tab/>
        <w:t xml:space="preserve">Олена ВАСИЛЬЧУК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ind w:left="0" w:right="0" w:firstLine="0"/>
      <w:jc w:val="right"/>
      <w:tabs>
        <w:tab w:val="clear" w:pos="709" w:leader="none"/>
        <w:tab w:val="left" w:pos="2835" w:leader="none"/>
        <w:tab w:val="left" w:pos="4677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>
      <w:tab/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>
    <w:name w:val="Caption"/>
    <w:basedOn w:val="934"/>
    <w:next w:val="9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5">
    <w:name w:val="Caption Char"/>
    <w:basedOn w:val="754"/>
    <w:link w:val="896"/>
    <w:uiPriority w:val="99"/>
  </w:style>
  <w:style w:type="paragraph" w:styleId="756">
    <w:name w:val="endnote text"/>
    <w:basedOn w:val="934"/>
    <w:link w:val="757"/>
    <w:uiPriority w:val="99"/>
    <w:semiHidden/>
    <w:unhideWhenUsed/>
    <w:rPr>
      <w:sz w:val="20"/>
    </w:rPr>
    <w:pPr>
      <w:spacing w:lineRule="auto" w:line="240" w:after="0"/>
    </w:pPr>
  </w:style>
  <w:style w:type="character" w:styleId="757">
    <w:name w:val="Endnote Text Char"/>
    <w:link w:val="756"/>
    <w:uiPriority w:val="99"/>
    <w:rPr>
      <w:sz w:val="20"/>
    </w:rPr>
  </w:style>
  <w:style w:type="character" w:styleId="758">
    <w:name w:val="endnote reference"/>
    <w:basedOn w:val="935"/>
    <w:uiPriority w:val="99"/>
    <w:semiHidden/>
    <w:unhideWhenUsed/>
    <w:rPr>
      <w:vertAlign w:val="superscript"/>
    </w:rPr>
  </w:style>
  <w:style w:type="paragraph" w:styleId="759">
    <w:name w:val="table of figures"/>
    <w:basedOn w:val="934"/>
    <w:next w:val="934"/>
    <w:uiPriority w:val="99"/>
    <w:unhideWhenUsed/>
    <w:pPr>
      <w:spacing w:after="0" w:afterAutospacing="0"/>
    </w:pPr>
  </w:style>
  <w:style w:type="table" w:styleId="760">
    <w:name w:val="Table Grid Light"/>
    <w:basedOn w:val="9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1"/>
    <w:basedOn w:val="9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9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6">
    <w:name w:val="Grid Table 1 Light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2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4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>
    <w:name w:val="Grid Table 4 - Accent 1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9">
    <w:name w:val="Grid Table 4 - Accent 2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Grid Table 4 - Accent 3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1">
    <w:name w:val="Grid Table 4 - Accent 4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Grid Table 4 - Accent 5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3">
    <w:name w:val="Grid Table 4 - Accent 6"/>
    <w:basedOn w:val="9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4">
    <w:name w:val="Grid Table 5 Dark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5">
    <w:name w:val="Grid Table 5 Dark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6">
    <w:name w:val="Grid Table 5 Dark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8">
    <w:name w:val="Grid Table 5 Dark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9">
    <w:name w:val="Grid Table 5 Dark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1">
    <w:name w:val="Grid Table 6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6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3">
    <w:name w:val="Grid Table 6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4">
    <w:name w:val="Grid Table 6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5">
    <w:name w:val="Grid Table 6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6">
    <w:name w:val="Grid Table 6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6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7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7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3">
    <w:name w:val="List Table 2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4">
    <w:name w:val="List Table 2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5">
    <w:name w:val="List Table 2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6">
    <w:name w:val="List Table 2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7">
    <w:name w:val="List Table 2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8">
    <w:name w:val="List Table 2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9">
    <w:name w:val="List Table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6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1">
    <w:name w:val="List Table 6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2">
    <w:name w:val="List Table 6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3">
    <w:name w:val="List Table 6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4">
    <w:name w:val="List Table 6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5">
    <w:name w:val="List Table 6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6">
    <w:name w:val="List Table 6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7">
    <w:name w:val="List Table 7 Colorful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8">
    <w:name w:val="List Table 7 Colorful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9">
    <w:name w:val="List Table 7 Colorful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0">
    <w:name w:val="List Table 7 Colorful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1">
    <w:name w:val="List Table 7 Colorful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2">
    <w:name w:val="List Table 7 Colorful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3">
    <w:name w:val="List Table 7 Colorful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4">
    <w:name w:val="Lined - Accent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5">
    <w:name w:val="Bordered &amp; Lined - Accent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66">
    <w:name w:val="Heading 1"/>
    <w:basedOn w:val="934"/>
    <w:next w:val="934"/>
    <w:link w:val="8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67">
    <w:name w:val="Heading 1 Char"/>
    <w:basedOn w:val="935"/>
    <w:link w:val="866"/>
    <w:uiPriority w:val="9"/>
    <w:rPr>
      <w:rFonts w:ascii="Arial" w:hAnsi="Arial" w:cs="Arial" w:eastAsia="Arial"/>
      <w:sz w:val="40"/>
      <w:szCs w:val="40"/>
    </w:rPr>
  </w:style>
  <w:style w:type="paragraph" w:styleId="868">
    <w:name w:val="Heading 2"/>
    <w:basedOn w:val="934"/>
    <w:next w:val="934"/>
    <w:link w:val="8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69">
    <w:name w:val="Heading 2 Char"/>
    <w:basedOn w:val="935"/>
    <w:link w:val="868"/>
    <w:uiPriority w:val="9"/>
    <w:rPr>
      <w:rFonts w:ascii="Arial" w:hAnsi="Arial" w:cs="Arial" w:eastAsia="Arial"/>
      <w:sz w:val="34"/>
    </w:rPr>
  </w:style>
  <w:style w:type="paragraph" w:styleId="870">
    <w:name w:val="Heading 3"/>
    <w:basedOn w:val="934"/>
    <w:next w:val="934"/>
    <w:link w:val="8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71">
    <w:name w:val="Heading 3 Char"/>
    <w:basedOn w:val="935"/>
    <w:link w:val="870"/>
    <w:uiPriority w:val="9"/>
    <w:rPr>
      <w:rFonts w:ascii="Arial" w:hAnsi="Arial" w:cs="Arial" w:eastAsia="Arial"/>
      <w:sz w:val="30"/>
      <w:szCs w:val="30"/>
    </w:rPr>
  </w:style>
  <w:style w:type="paragraph" w:styleId="872">
    <w:name w:val="Heading 4"/>
    <w:basedOn w:val="934"/>
    <w:next w:val="934"/>
    <w:link w:val="8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73">
    <w:name w:val="Heading 4 Char"/>
    <w:basedOn w:val="935"/>
    <w:link w:val="872"/>
    <w:uiPriority w:val="9"/>
    <w:rPr>
      <w:rFonts w:ascii="Arial" w:hAnsi="Arial" w:cs="Arial" w:eastAsia="Arial"/>
      <w:b/>
      <w:bCs/>
      <w:sz w:val="26"/>
      <w:szCs w:val="26"/>
    </w:rPr>
  </w:style>
  <w:style w:type="paragraph" w:styleId="874">
    <w:name w:val="Heading 5"/>
    <w:basedOn w:val="934"/>
    <w:next w:val="934"/>
    <w:link w:val="8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75">
    <w:name w:val="Heading 5 Char"/>
    <w:basedOn w:val="935"/>
    <w:link w:val="874"/>
    <w:uiPriority w:val="9"/>
    <w:rPr>
      <w:rFonts w:ascii="Arial" w:hAnsi="Arial" w:cs="Arial" w:eastAsia="Arial"/>
      <w:b/>
      <w:bCs/>
      <w:sz w:val="24"/>
      <w:szCs w:val="24"/>
    </w:rPr>
  </w:style>
  <w:style w:type="paragraph" w:styleId="876">
    <w:name w:val="Heading 6"/>
    <w:basedOn w:val="934"/>
    <w:next w:val="934"/>
    <w:link w:val="8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77">
    <w:name w:val="Heading 6 Char"/>
    <w:basedOn w:val="935"/>
    <w:link w:val="876"/>
    <w:uiPriority w:val="9"/>
    <w:rPr>
      <w:rFonts w:ascii="Arial" w:hAnsi="Arial" w:cs="Arial" w:eastAsia="Arial"/>
      <w:b/>
      <w:bCs/>
      <w:sz w:val="22"/>
      <w:szCs w:val="22"/>
    </w:rPr>
  </w:style>
  <w:style w:type="paragraph" w:styleId="878">
    <w:name w:val="Heading 7"/>
    <w:basedOn w:val="934"/>
    <w:next w:val="934"/>
    <w:link w:val="8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79">
    <w:name w:val="Heading 7 Char"/>
    <w:basedOn w:val="935"/>
    <w:link w:val="8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80">
    <w:name w:val="Heading 8"/>
    <w:basedOn w:val="934"/>
    <w:next w:val="934"/>
    <w:link w:val="8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81">
    <w:name w:val="Heading 8 Char"/>
    <w:basedOn w:val="935"/>
    <w:link w:val="880"/>
    <w:uiPriority w:val="9"/>
    <w:rPr>
      <w:rFonts w:ascii="Arial" w:hAnsi="Arial" w:cs="Arial" w:eastAsia="Arial"/>
      <w:i/>
      <w:iCs/>
      <w:sz w:val="22"/>
      <w:szCs w:val="22"/>
    </w:rPr>
  </w:style>
  <w:style w:type="paragraph" w:styleId="882">
    <w:name w:val="Heading 9"/>
    <w:basedOn w:val="934"/>
    <w:next w:val="934"/>
    <w:link w:val="8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83">
    <w:name w:val="Heading 9 Char"/>
    <w:basedOn w:val="935"/>
    <w:link w:val="882"/>
    <w:uiPriority w:val="9"/>
    <w:rPr>
      <w:rFonts w:ascii="Arial" w:hAnsi="Arial" w:cs="Arial" w:eastAsia="Arial"/>
      <w:i/>
      <w:iCs/>
      <w:sz w:val="21"/>
      <w:szCs w:val="21"/>
    </w:rPr>
  </w:style>
  <w:style w:type="paragraph" w:styleId="884">
    <w:name w:val="List Paragraph"/>
    <w:basedOn w:val="934"/>
    <w:qFormat/>
    <w:uiPriority w:val="34"/>
    <w:pPr>
      <w:contextualSpacing w:val="true"/>
      <w:ind w:left="720"/>
    </w:pPr>
  </w:style>
  <w:style w:type="paragraph" w:styleId="885">
    <w:name w:val="No Spacing"/>
    <w:qFormat/>
    <w:uiPriority w:val="1"/>
    <w:pPr>
      <w:spacing w:lineRule="auto" w:line="240" w:after="0" w:before="0"/>
    </w:pPr>
  </w:style>
  <w:style w:type="paragraph" w:styleId="886">
    <w:name w:val="Title"/>
    <w:basedOn w:val="934"/>
    <w:next w:val="934"/>
    <w:link w:val="8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7">
    <w:name w:val="Title Char"/>
    <w:basedOn w:val="935"/>
    <w:link w:val="886"/>
    <w:uiPriority w:val="10"/>
    <w:rPr>
      <w:sz w:val="48"/>
      <w:szCs w:val="48"/>
    </w:rPr>
  </w:style>
  <w:style w:type="paragraph" w:styleId="888">
    <w:name w:val="Subtitle"/>
    <w:basedOn w:val="934"/>
    <w:next w:val="934"/>
    <w:link w:val="889"/>
    <w:qFormat/>
    <w:uiPriority w:val="11"/>
    <w:rPr>
      <w:sz w:val="24"/>
      <w:szCs w:val="24"/>
    </w:rPr>
    <w:pPr>
      <w:spacing w:after="200" w:before="200"/>
    </w:pPr>
  </w:style>
  <w:style w:type="character" w:styleId="889">
    <w:name w:val="Subtitle Char"/>
    <w:basedOn w:val="935"/>
    <w:link w:val="888"/>
    <w:uiPriority w:val="11"/>
    <w:rPr>
      <w:sz w:val="24"/>
      <w:szCs w:val="24"/>
    </w:rPr>
  </w:style>
  <w:style w:type="paragraph" w:styleId="890">
    <w:name w:val="Quote"/>
    <w:basedOn w:val="934"/>
    <w:next w:val="934"/>
    <w:link w:val="891"/>
    <w:qFormat/>
    <w:uiPriority w:val="29"/>
    <w:rPr>
      <w:i/>
    </w:rPr>
    <w:pPr>
      <w:ind w:left="720" w:right="720"/>
    </w:pPr>
  </w:style>
  <w:style w:type="character" w:styleId="891">
    <w:name w:val="Quote Char"/>
    <w:link w:val="890"/>
    <w:uiPriority w:val="29"/>
    <w:rPr>
      <w:i/>
    </w:rPr>
  </w:style>
  <w:style w:type="paragraph" w:styleId="892">
    <w:name w:val="Intense Quote"/>
    <w:basedOn w:val="934"/>
    <w:next w:val="934"/>
    <w:link w:val="8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3">
    <w:name w:val="Intense Quote Char"/>
    <w:link w:val="892"/>
    <w:uiPriority w:val="30"/>
    <w:rPr>
      <w:i/>
    </w:rPr>
  </w:style>
  <w:style w:type="paragraph" w:styleId="894">
    <w:name w:val="Header"/>
    <w:basedOn w:val="934"/>
    <w:link w:val="8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5">
    <w:name w:val="Header Char"/>
    <w:basedOn w:val="935"/>
    <w:link w:val="894"/>
    <w:uiPriority w:val="99"/>
  </w:style>
  <w:style w:type="paragraph" w:styleId="896">
    <w:name w:val="Footer"/>
    <w:basedOn w:val="934"/>
    <w:link w:val="8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7">
    <w:name w:val="Footer Char"/>
    <w:basedOn w:val="935"/>
    <w:link w:val="896"/>
    <w:uiPriority w:val="99"/>
  </w:style>
  <w:style w:type="table" w:styleId="898">
    <w:name w:val="Table Grid"/>
    <w:basedOn w:val="9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>
    <w:name w:val="Lined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>
    <w:name w:val="Lined - Accent 1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1">
    <w:name w:val="Lined - Accent 2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2">
    <w:name w:val="Lined - Accent 3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3">
    <w:name w:val="Lined - Accent 4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4">
    <w:name w:val="Lined - Accent 5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>
    <w:name w:val="Lined - Accent 6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>
    <w:name w:val="Bordered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7">
    <w:name w:val="Bordered - Accent 1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8">
    <w:name w:val="Bordered - Accent 2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9">
    <w:name w:val="Bordered - Accent 3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0">
    <w:name w:val="Bordered - Accent 4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1">
    <w:name w:val="Bordered - Accent 5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2">
    <w:name w:val="Bordered - Accent 6"/>
    <w:basedOn w:val="9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3">
    <w:name w:val="Bordered &amp; Lined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4">
    <w:name w:val="Bordered &amp; Lined - Accent 1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5">
    <w:name w:val="Bordered &amp; Lined - Accent 2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6">
    <w:name w:val="Bordered &amp; Lined - Accent 3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7">
    <w:name w:val="Bordered &amp; Lined - Accent 4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8">
    <w:name w:val="Bordered &amp; Lined - Accent 5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9">
    <w:name w:val="Bordered &amp; Lined - Accent 6"/>
    <w:basedOn w:val="9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934"/>
    <w:link w:val="922"/>
    <w:uiPriority w:val="99"/>
    <w:semiHidden/>
    <w:unhideWhenUsed/>
    <w:rPr>
      <w:sz w:val="18"/>
    </w:rPr>
    <w:pPr>
      <w:spacing w:lineRule="auto" w:line="240" w:after="40"/>
    </w:pPr>
  </w:style>
  <w:style w:type="character" w:styleId="922">
    <w:name w:val="Footnote Text Char"/>
    <w:link w:val="921"/>
    <w:uiPriority w:val="99"/>
    <w:rPr>
      <w:sz w:val="18"/>
    </w:rPr>
  </w:style>
  <w:style w:type="character" w:styleId="923">
    <w:name w:val="footnote reference"/>
    <w:basedOn w:val="935"/>
    <w:uiPriority w:val="99"/>
    <w:unhideWhenUsed/>
    <w:rPr>
      <w:vertAlign w:val="superscript"/>
    </w:rPr>
  </w:style>
  <w:style w:type="paragraph" w:styleId="924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5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6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7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8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9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30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31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32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33">
    <w:name w:val="TOC Heading"/>
    <w:uiPriority w:val="39"/>
    <w:unhideWhenUsed/>
  </w:style>
  <w:style w:type="paragraph" w:styleId="93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5" w:default="1">
    <w:name w:val="Default Paragraph Font"/>
    <w:uiPriority w:val="1"/>
    <w:semiHidden/>
    <w:unhideWhenUsed/>
  </w:style>
  <w:style w:type="table" w:styleId="9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7" w:default="1">
    <w:name w:val="No List"/>
    <w:uiPriority w:val="99"/>
    <w:semiHidden/>
    <w:unhideWhenUsed/>
  </w:style>
  <w:style w:type="paragraph" w:styleId="938" w:customStyle="1">
    <w:name w:val="docdata"/>
    <w:basedOn w:val="80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9">
    <w:name w:val="Normal (Web)"/>
    <w:basedOn w:val="800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mailto:cnapradamena@cg.gov.ua" TargetMode="External"/><Relationship Id="rId14" Type="http://schemas.openxmlformats.org/officeDocument/2006/relationships/hyperlink" Target="http://mena.cg.gov.ua/" TargetMode="External"/><Relationship Id="rId15" Type="http://schemas.openxmlformats.org/officeDocument/2006/relationships/hyperlink" Target="mailto:cnapradamena@cg.gov.ua" TargetMode="External"/><Relationship Id="rId16" Type="http://schemas.openxmlformats.org/officeDocument/2006/relationships/hyperlink" Target="http://mena.cg.gov.ua/" TargetMode="External"/><Relationship Id="rId17" Type="http://schemas.openxmlformats.org/officeDocument/2006/relationships/hyperlink" Target="mailto:cnapradamena@cg.gov.ua" TargetMode="External"/><Relationship Id="rId18" Type="http://schemas.openxmlformats.org/officeDocument/2006/relationships/hyperlink" Target="http://mena.cg.gov.ua/" TargetMode="External"/><Relationship Id="rId19" Type="http://schemas.openxmlformats.org/officeDocument/2006/relationships/hyperlink" Target="mailto:cnapradamena@cg.gov.ua" TargetMode="External"/><Relationship Id="rId20" Type="http://schemas.openxmlformats.org/officeDocument/2006/relationships/hyperlink" Target="http://mena.cg.gov.ua/" TargetMode="External"/><Relationship Id="rId21" Type="http://schemas.openxmlformats.org/officeDocument/2006/relationships/hyperlink" Target="mailto:cnapradamena@cg.gov.ua" TargetMode="External"/><Relationship Id="rId22" Type="http://schemas.openxmlformats.org/officeDocument/2006/relationships/hyperlink" Target="http://mena.cg.gov.ua/" TargetMode="External"/><Relationship Id="rId23" Type="http://schemas.openxmlformats.org/officeDocument/2006/relationships/hyperlink" Target="mailto:cnapradamena@cg.gov.ua" TargetMode="External"/><Relationship Id="rId24" Type="http://schemas.openxmlformats.org/officeDocument/2006/relationships/hyperlink" Target="http://mena.cg.gov.ua/" TargetMode="External"/><Relationship Id="rId25" Type="http://schemas.openxmlformats.org/officeDocument/2006/relationships/hyperlink" Target="mailto:cnapradamena@cg.gov.ua" TargetMode="External"/><Relationship Id="rId26" Type="http://schemas.openxmlformats.org/officeDocument/2006/relationships/hyperlink" Target="http://mena.cg.gov.ua/" TargetMode="External"/><Relationship Id="rId27" Type="http://schemas.openxmlformats.org/officeDocument/2006/relationships/hyperlink" Target="mailto:cnapradamena@cg.gov.ua" TargetMode="External"/><Relationship Id="rId28" Type="http://schemas.openxmlformats.org/officeDocument/2006/relationships/hyperlink" Target="http://mena.cg.gov.ua/" TargetMode="External"/><Relationship Id="rId29" Type="http://schemas.openxmlformats.org/officeDocument/2006/relationships/hyperlink" Target="mailto:cnapradamena@cg.gov.ua" TargetMode="External"/><Relationship Id="rId30" Type="http://schemas.openxmlformats.org/officeDocument/2006/relationships/hyperlink" Target="http://mena.cg.gov.ua/" TargetMode="External"/><Relationship Id="rId31" Type="http://schemas.openxmlformats.org/officeDocument/2006/relationships/hyperlink" Target="mailto:cnapradamena@cg.gov.ua" TargetMode="External"/><Relationship Id="rId32" Type="http://schemas.openxmlformats.org/officeDocument/2006/relationships/hyperlink" Target="http://mena.cg.gov.ua/" TargetMode="External"/><Relationship Id="rId33" Type="http://schemas.openxmlformats.org/officeDocument/2006/relationships/hyperlink" Target="mailto:cnapradamena@cg.gov.ua" TargetMode="External"/><Relationship Id="rId34" Type="http://schemas.openxmlformats.org/officeDocument/2006/relationships/hyperlink" Target="http://mena.cg.gov.ua/" TargetMode="External"/><Relationship Id="rId35" Type="http://schemas.openxmlformats.org/officeDocument/2006/relationships/hyperlink" Target="mailto:cnapradamena@cg.gov.ua" TargetMode="External"/><Relationship Id="rId36" Type="http://schemas.openxmlformats.org/officeDocument/2006/relationships/hyperlink" Target="http://mena.cg.gov.ua/" TargetMode="External"/><Relationship Id="rId37" Type="http://schemas.openxmlformats.org/officeDocument/2006/relationships/hyperlink" Target="mailto:cnapradamena@cg.gov.ua" TargetMode="External"/><Relationship Id="rId38" Type="http://schemas.openxmlformats.org/officeDocument/2006/relationships/hyperlink" Target="http://mena.cg.gov.ua/" TargetMode="External"/><Relationship Id="rId39" Type="http://schemas.openxmlformats.org/officeDocument/2006/relationships/hyperlink" Target="mailto:cnapradamena@cg.gov.ua" TargetMode="External"/><Relationship Id="rId40" Type="http://schemas.openxmlformats.org/officeDocument/2006/relationships/hyperlink" Target="http://mena.cg.gov.ua/" TargetMode="External"/><Relationship Id="rId41" Type="http://schemas.openxmlformats.org/officeDocument/2006/relationships/hyperlink" Target="mailto:cnapradamena@cg.gov.ua" TargetMode="External"/><Relationship Id="rId42" Type="http://schemas.openxmlformats.org/officeDocument/2006/relationships/hyperlink" Target="http://mena.cg.gov.ua/" TargetMode="External"/><Relationship Id="rId43" Type="http://schemas.openxmlformats.org/officeDocument/2006/relationships/hyperlink" Target="mailto:cnapradamena@cg.gov.ua" TargetMode="External"/><Relationship Id="rId44" Type="http://schemas.openxmlformats.org/officeDocument/2006/relationships/hyperlink" Target="http://mena.cg.gov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19</cp:revision>
  <dcterms:modified xsi:type="dcterms:W3CDTF">2022-10-27T15:11:12Z</dcterms:modified>
</cp:coreProperties>
</file>