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жовт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338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здійснення державної </w:t>
      </w:r>
      <w:r>
        <w:rPr>
          <w:rFonts w:ascii="Times New Roman" w:hAnsi="Times New Roman"/>
          <w:b/>
          <w:bCs/>
          <w:sz w:val="28"/>
          <w:szCs w:val="28"/>
        </w:rPr>
        <w:t xml:space="preserve">реєстрації транспортного засобу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У зв’язку із прийняттям у комунальну власність Менської міської територіальної громади та на баланс Менської міської ради транспортного засобу, на 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виконання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двадцять четвертої сесії Менської міської ради восьмого скликання від 10 жовтня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2022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року № 346 «Про прийняття в комунальну власність Менської міської територіальної громади автомобіля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64"/>
          <w:rFonts w:ascii="Times New Roman" w:hAnsi="Times New Roman" w:cs="Times New Roman"/>
          <w:color w:val="000000"/>
          <w:sz w:val="28"/>
          <w:szCs w:val="28"/>
        </w:rPr>
        <w:t xml:space="preserve">KIA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SHUMA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наступного транспортного засобу: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легковий 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автомобіль KIA </w:t>
      </w:r>
      <w:r>
        <w:rPr>
          <w:rFonts w:ascii="Times New Roman" w:hAnsi="Times New Roman"/>
          <w:color w:val="000000"/>
          <w:sz w:val="28"/>
          <w:szCs w:val="28"/>
        </w:rPr>
        <w:t xml:space="preserve">SHUMA, реєстраційний номер CMG 19N2, 1999 року випуску, VIN-номер KNEFB2422Y5423074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Призначити відповідальною особою за здійснення державної реєстрації транспортного засобу, зазначеного в пункті 1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, Грищенка Віктора Костянтиновича, водія Менської міської ради.</w:t>
      </w:r>
      <w:r/>
    </w:p>
    <w:p>
      <w:pPr>
        <w:pStyle w:val="856"/>
        <w:ind w:left="0" w:firstLine="720"/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  <w:style w:type="character" w:styleId="864" w:customStyle="1">
    <w:name w:val="2655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7</cp:revision>
  <dcterms:created xsi:type="dcterms:W3CDTF">2022-10-14T08:25:00Z</dcterms:created>
  <dcterms:modified xsi:type="dcterms:W3CDTF">2022-10-24T08:55:01Z</dcterms:modified>
</cp:coreProperties>
</file>