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lineRule="atLeast" w:line="235" w:after="16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Додаток 1  до проєкту рішення виконавчого комітету  Менської міської ради від_____вересня 2022 року №____</w:t>
      </w:r>
      <w:r/>
    </w:p>
    <w:p>
      <w:pPr>
        <w:pStyle w:val="868"/>
        <w:jc w:val="center"/>
        <w:spacing w:after="0"/>
        <w:tabs>
          <w:tab w:val="num" w:pos="561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68"/>
        <w:jc w:val="center"/>
        <w:spacing w:after="0"/>
        <w:tabs>
          <w:tab w:val="num" w:pos="561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А К Т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68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визначення розмірів збитків, заподіяних </w:t>
      </w:r>
      <w:r>
        <w:rPr>
          <w:rFonts w:ascii="Times New Roman" w:hAnsi="Times New Roman" w:cs="Times New Roman" w:eastAsia="Times New Roman"/>
          <w:b/>
          <w:sz w:val="24"/>
          <w:szCs w:val="28"/>
          <w:lang w:val="uk-UA"/>
        </w:rPr>
        <w:t xml:space="preserve">Менській міській раді суб’єктами господарювання: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ПП „РЕГІОН-СЕРВІС-ДМ”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та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ПП «Міжрайпаливо»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наслідок використання  земельн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их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ділян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 w:eastAsia="Times New Roman"/>
          <w:b/>
          <w:sz w:val="24"/>
          <w:szCs w:val="28"/>
          <w:lang w:val="uk-UA"/>
        </w:rPr>
        <w:t xml:space="preserve">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без правовстановлюючих документів </w:t>
      </w:r>
      <w:r>
        <w:rPr>
          <w:rFonts w:ascii="Times New Roman" w:hAnsi="Times New Roman" w:cs="Times New Roman" w:eastAsia="Times New Roman"/>
        </w:rPr>
      </w:r>
    </w:p>
    <w:p>
      <w:pPr>
        <w:pStyle w:val="868"/>
        <w:jc w:val="center"/>
        <w:spacing w:lineRule="auto" w:line="240" w:after="0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868"/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м. Мена</w:t>
        <w:tab/>
        <w:tab/>
        <w:tab/>
        <w:tab/>
        <w:tab/>
        <w:tab/>
        <w:t xml:space="preserve">             </w:t>
        <w:tab/>
        <w:t xml:space="preserve">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вересня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202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року</w:t>
      </w:r>
      <w:r/>
    </w:p>
    <w:p>
      <w:pPr>
        <w:pStyle w:val="868"/>
        <w:jc w:val="center"/>
        <w:spacing w:lineRule="auto" w:line="228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68"/>
        <w:ind w:firstLine="851"/>
        <w:jc w:val="both"/>
        <w:spacing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Керуючись нормами Земельного кодексу України, Порядком визначення та відшкодування збитків власникам землі та землекористувачам, затвердженим постановою Кабінету Міністрів України від 19.04.1993 № 284, відповідно до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рішення виконавчого комітету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Менської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міської ради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від 26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березня 2021 року № 82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«Про створення комісії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визначення розміру збитків, заподіяних власникам землі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та землекористувачам»,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комісією у складі:</w:t>
      </w:r>
      <w:r/>
    </w:p>
    <w:p>
      <w:pPr>
        <w:pStyle w:val="868"/>
        <w:ind w:firstLine="851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68"/>
        <w:ind w:left="1843" w:hanging="1843"/>
        <w:jc w:val="both"/>
        <w:rPr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Головуючої на засіданні, заступника голови комісії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:</w:t>
      </w:r>
      <w:r>
        <w:t xml:space="preserve"> </w:t>
      </w:r>
      <w:r/>
    </w:p>
    <w:p>
      <w:pPr>
        <w:pStyle w:val="868"/>
        <w:ind w:left="1843" w:firstLine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t xml:space="preserve">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в.о. начальника</w:t>
      </w:r>
      <w:r>
        <w:rPr>
          <w:rFonts w:ascii="Times New Roman" w:hAnsi="Times New Roman" w:eastAsia="MS Mincho"/>
          <w:sz w:val="24"/>
          <w:szCs w:val="24"/>
          <w:lang w:eastAsia="ru-RU"/>
        </w:rPr>
        <w:t xml:space="preserve"> відділу земельних відносин, агропромислового комплексу та екології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Менської міської ради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Скирта Оксана Віталіївна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68"/>
        <w:ind w:left="1843" w:hanging="1843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Секретаря засідання:</w:t>
      </w:r>
      <w:r>
        <w:t xml:space="preserve">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головного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спеціаліст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відділу</w:t>
      </w:r>
      <w:r>
        <w:rPr>
          <w:rFonts w:ascii="Times New Roman" w:hAnsi="Times New Roman" w:eastAsia="MS Mincho"/>
          <w:sz w:val="24"/>
          <w:szCs w:val="24"/>
          <w:lang w:eastAsia="ru-RU"/>
        </w:rPr>
        <w:t xml:space="preserve"> архітектури та містобудування Менської міської ради</w:t>
      </w:r>
      <w:r>
        <w:rPr>
          <w:rFonts w:ascii="Times New Roman" w:hAnsi="Times New Roman" w:eastAsia="MS Mincho"/>
          <w:sz w:val="24"/>
          <w:szCs w:val="24"/>
          <w:lang w:eastAsia="ru-RU"/>
        </w:rPr>
        <w:t xml:space="preserve"> – Ілюшкіна Дар’я Валеріївна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pStyle w:val="868"/>
        <w:ind w:right="-374"/>
        <w:spacing w:lineRule="auto" w:line="24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Членів</w:t>
      </w: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  <w:t xml:space="preserve"> комісії:</w:t>
      </w: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tbl>
      <w:tblPr>
        <w:tblW w:w="9606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808"/>
        <w:gridCol w:w="6798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8" w:type="dxa"/>
            <w:vAlign w:val="top"/>
            <w:textDirection w:val="lrTb"/>
            <w:noWrap w:val="false"/>
          </w:tcPr>
          <w:p>
            <w:pPr>
              <w:pStyle w:val="868"/>
              <w:spacing w:lineRule="auto" w:line="240" w:after="120" w:before="120"/>
              <w:rPr>
                <w:rFonts w:ascii="Times New Roman" w:hAnsi="Times New Roman" w:eastAsia="MS Minch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t xml:space="preserve">МАРЦЕВОЇ</w:t>
            </w: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t xml:space="preserve"> </w:t>
              <w:br/>
              <w:t xml:space="preserve">Тетяни Іванівни</w:t>
            </w: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98" w:type="dxa"/>
            <w:vAlign w:val="top"/>
            <w:textDirection w:val="lrTb"/>
            <w:noWrap w:val="false"/>
          </w:tcPr>
          <w:p>
            <w:pPr>
              <w:pStyle w:val="868"/>
              <w:jc w:val="both"/>
              <w:spacing w:lineRule="auto" w:line="240" w:after="120" w:before="120"/>
              <w:rPr>
                <w:rFonts w:ascii="Times New Roman" w:hAnsi="Times New Roman" w:eastAsia="MS Minch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t xml:space="preserve">заступник</w:t>
            </w: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t xml:space="preserve"> начальника юридичного відділу Менської міської ради;</w:t>
            </w: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8" w:type="dxa"/>
            <w:vAlign w:val="top"/>
            <w:textDirection w:val="lrTb"/>
            <w:noWrap w:val="false"/>
          </w:tcPr>
          <w:p>
            <w:pPr>
              <w:pStyle w:val="868"/>
              <w:spacing w:lineRule="auto" w:line="240" w:after="120" w:before="120"/>
              <w:rPr>
                <w:rFonts w:ascii="Times New Roman" w:hAnsi="Times New Roman" w:eastAsia="MS Minch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MS Mincho"/>
                <w:color w:val="000000"/>
                <w:sz w:val="24"/>
                <w:szCs w:val="24"/>
                <w:lang w:eastAsia="ru-RU"/>
              </w:rPr>
              <w:t xml:space="preserve">Т</w:t>
            </w:r>
            <w:r>
              <w:rPr>
                <w:rFonts w:ascii="Times New Roman" w:hAnsi="Times New Roman" w:eastAsia="MS Mincho"/>
                <w:color w:val="000000"/>
                <w:sz w:val="24"/>
                <w:szCs w:val="24"/>
                <w:lang w:eastAsia="ru-RU"/>
              </w:rPr>
              <w:t xml:space="preserve">АРГОНСЬКОГО</w:t>
            </w:r>
            <w:r>
              <w:rPr>
                <w:rFonts w:ascii="Times New Roman" w:hAnsi="Times New Roman" w:eastAsia="MS Mincho"/>
                <w:color w:val="000000"/>
                <w:sz w:val="24"/>
                <w:szCs w:val="24"/>
                <w:lang w:eastAsia="ru-RU"/>
              </w:rPr>
              <w:br/>
              <w:t xml:space="preserve">Станіслав</w:t>
            </w:r>
            <w:r>
              <w:rPr>
                <w:rFonts w:ascii="Times New Roman" w:hAnsi="Times New Roman" w:eastAsia="MS Mincho"/>
                <w:color w:val="000000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MS Mincho"/>
                <w:color w:val="000000"/>
                <w:sz w:val="24"/>
                <w:szCs w:val="24"/>
                <w:lang w:eastAsia="ru-RU"/>
              </w:rPr>
              <w:t xml:space="preserve"> Володимирович</w:t>
            </w:r>
            <w:r>
              <w:rPr>
                <w:rFonts w:ascii="Times New Roman" w:hAnsi="Times New Roman" w:eastAsia="MS Mincho"/>
                <w:color w:val="000000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MS Mincho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98" w:type="dxa"/>
            <w:vAlign w:val="top"/>
            <w:textDirection w:val="lrTb"/>
            <w:noWrap w:val="false"/>
          </w:tcPr>
          <w:p>
            <w:pPr>
              <w:pStyle w:val="868"/>
              <w:jc w:val="both"/>
              <w:spacing w:lineRule="auto" w:line="240" w:after="120" w:before="120"/>
              <w:rPr>
                <w:rFonts w:ascii="Times New Roman" w:hAnsi="Times New Roman" w:eastAsia="MS Minch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MS Mincho"/>
                <w:color w:val="000000"/>
                <w:spacing w:val="-2"/>
                <w:sz w:val="24"/>
                <w:szCs w:val="24"/>
                <w:lang w:eastAsia="ru-RU"/>
              </w:rPr>
              <w:t xml:space="preserve">головного</w:t>
            </w:r>
            <w:r>
              <w:rPr>
                <w:rFonts w:ascii="Times New Roman" w:hAnsi="Times New Roman" w:eastAsia="MS Mincho"/>
                <w:color w:val="000000"/>
                <w:spacing w:val="-2"/>
                <w:sz w:val="24"/>
                <w:szCs w:val="24"/>
                <w:lang w:eastAsia="ru-RU"/>
              </w:rPr>
              <w:t xml:space="preserve"> спеціаліст</w:t>
            </w:r>
            <w:r>
              <w:rPr>
                <w:rFonts w:ascii="Times New Roman" w:hAnsi="Times New Roman" w:eastAsia="MS Mincho"/>
                <w:color w:val="000000"/>
                <w:spacing w:val="-2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MS Mincho"/>
                <w:color w:val="000000"/>
                <w:spacing w:val="-2"/>
                <w:sz w:val="24"/>
                <w:szCs w:val="24"/>
                <w:lang w:eastAsia="ru-RU"/>
              </w:rPr>
              <w:t xml:space="preserve"> Фінансового управління Менської міської ради</w:t>
            </w: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t xml:space="preserve">;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8" w:type="dxa"/>
            <w:vAlign w:val="top"/>
            <w:textDirection w:val="lrTb"/>
            <w:noWrap w:val="false"/>
          </w:tcPr>
          <w:p>
            <w:pPr>
              <w:pStyle w:val="868"/>
              <w:spacing w:lineRule="auto" w:line="240" w:after="120" w:before="120"/>
              <w:rPr>
                <w:rFonts w:ascii="Times New Roman" w:hAnsi="Times New Roman" w:eastAsia="MS Minch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t xml:space="preserve">Ч</w:t>
            </w: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t xml:space="preserve">ЕПУРКА</w:t>
            </w: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br/>
              <w:t xml:space="preserve">Сергія</w:t>
            </w: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t xml:space="preserve"> Олександрович</w:t>
            </w: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</w:r>
            <w:r/>
          </w:p>
          <w:p>
            <w:pPr>
              <w:pStyle w:val="868"/>
              <w:spacing w:lineRule="auto" w:line="240" w:after="120" w:before="120"/>
              <w:rPr>
                <w:rFonts w:ascii="Times New Roman" w:hAnsi="Times New Roman" w:eastAsia="MS Minch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798" w:type="dxa"/>
            <w:vAlign w:val="top"/>
            <w:textDirection w:val="lrTb"/>
            <w:noWrap w:val="false"/>
          </w:tcPr>
          <w:p>
            <w:pPr>
              <w:pStyle w:val="868"/>
              <w:jc w:val="both"/>
              <w:spacing w:lineRule="auto" w:line="240" w:after="120" w:before="120"/>
              <w:rPr>
                <w:rFonts w:ascii="Times New Roman" w:hAnsi="Times New Roman" w:eastAsia="MS Minch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t xml:space="preserve">депутат</w:t>
            </w: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t xml:space="preserve"> Менської міської ради, голови постійної комісії з питань містобудування, будівництва, земельних відно</w:t>
            </w: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t xml:space="preserve">син та охорони природи.</w:t>
            </w: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86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68"/>
        <w:ind w:firstLine="426"/>
        <w:jc w:val="both"/>
        <w:spacing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 метою визначення збитків, заподіяних </w:t>
      </w:r>
      <w:r>
        <w:rPr>
          <w:rFonts w:ascii="Times New Roman" w:hAnsi="Times New Roman" w:eastAsia="MS Mincho"/>
          <w:sz w:val="24"/>
          <w:szCs w:val="24"/>
          <w:lang w:eastAsia="ru-RU"/>
        </w:rPr>
        <w:t xml:space="preserve">Менській міській раді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за використання земельних ділянок без правовстановлюючих документів на території м. Мена виявлено наступне.</w:t>
      </w:r>
      <w:r/>
    </w:p>
    <w:p>
      <w:pPr>
        <w:pStyle w:val="868"/>
        <w:ind w:firstLine="426"/>
        <w:jc w:val="both"/>
        <w:spacing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При проведенні розрахунку збитків завданих ПП «РЕГІОН-СЕРВІС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-ДМ» за використання земельної ділянки загальною площею 1,5245 га кадастровий номер 7423010100:01:003:0944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для розміщення та експлуатації основних, підсобних і допоміжних будівель та споруд підприємствами, що пов'язані з користуванням надрами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на якій розташовані об’єкти нерухомого майна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(квасильний цех)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які знаходяться на праві приватної власності за адресою: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Чернігівська область, Корюківський (раніше – Менський) район,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м. Мена, вул. Шевченка, 82 та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ПП «Міжрайпаливо» 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земельної ділянки площею 2,26 га для розміщення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для розміщення об'єктів Менської паливної бази «Облпаливо», на якій розміщений об’єкт нерухомого майна – нежитлова будівля паливна база з допоміжними будівлями та спорудами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за адресою вул. Шевченка, 93</w:t>
      </w:r>
      <w:r>
        <w:rPr>
          <w:rFonts w:ascii="Times New Roman" w:hAnsi="Times New Roman" w:eastAsia="MS Mincho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які знаходяться на праві приватної власності у вищезазначен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ого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суб’єкт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господарювання була використана інформація, зазначена у додаткових матеріалах наданих на розгляд комісії, а саме: нормативна грошова оцінка земельних ділянок,</w:t>
      </w:r>
      <w:r>
        <w:rPr>
          <w:rFonts w:ascii="Times New Roman" w:hAnsi="Times New Roman" w:eastAsia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 w:eastAsia="MS Mincho"/>
          <w:sz w:val="24"/>
          <w:szCs w:val="24"/>
          <w:lang w:eastAsia="ru-RU"/>
        </w:rPr>
        <w:t xml:space="preserve">відповідно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до їх цільового призначення із застосуванням ставки орендної плати згідно</w:t>
      </w:r>
      <w:r>
        <w:rPr>
          <w:rFonts w:ascii="Times New Roman" w:hAnsi="Times New Roman" w:eastAsia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hAnsi="Times New Roman" w:eastAsia="Times New Roman"/>
          <w:bCs/>
          <w:sz w:val="24"/>
          <w:szCs w:val="24"/>
          <w:lang w:eastAsia="uk-UA"/>
        </w:rPr>
        <w:t xml:space="preserve">рішення 27 сесія Менської міської ради 6 скликання від 28.06.2013 року «Про орендну плату за земельні ділянки»,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рішення 40 сесії Менської міської ради 7 скликання від 10 липня 2020 року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№257</w:t>
      </w:r>
      <w:r>
        <w:rPr>
          <w:sz w:val="24"/>
          <w:szCs w:val="24"/>
        </w:rPr>
        <w:t xml:space="preserve"> «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 затвердження ставок орендної плати за земельні ділянки на території Менської ОТГ», рішення 7 се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сії Менської міської ради 8 скликання від 30 червня 2021 року №322 «Про затвердження ставок орендної плати за земельні ділянки на території Менської міської територіальної громади», відомості з Державного реєстру речових прав на нерухоме майно (Додаток 1);</w:t>
      </w:r>
      <w:r/>
    </w:p>
    <w:p>
      <w:pPr>
        <w:pStyle w:val="868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6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/>
    </w:p>
    <w:p>
      <w:pPr>
        <w:pStyle w:val="868"/>
        <w:jc w:val="both"/>
        <w:spacing w:lineRule="auto" w:line="240" w:after="0"/>
        <w:tabs>
          <w:tab w:val="left" w:pos="7513" w:leader="none"/>
        </w:tabs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Головуюча на засіданні, заступник голови комісії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Оксана СКИРТА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/>
    </w:p>
    <w:p>
      <w:pPr>
        <w:pStyle w:val="868"/>
        <w:jc w:val="both"/>
        <w:spacing w:lineRule="auto" w:line="240" w:after="0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/>
    </w:p>
    <w:p>
      <w:pPr>
        <w:pStyle w:val="868"/>
        <w:jc w:val="both"/>
        <w:spacing w:lineRule="auto" w:line="240" w:after="0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/>
    </w:p>
    <w:p>
      <w:pPr>
        <w:pStyle w:val="868"/>
        <w:jc w:val="both"/>
        <w:spacing w:lineRule="auto" w:line="240" w:after="0"/>
        <w:tabs>
          <w:tab w:val="left" w:pos="7230" w:leader="none"/>
        </w:tabs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Секретар засідання</w:t>
        <w:tab/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Дар’я ІЛЮШКІНА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/>
    </w:p>
    <w:p>
      <w:pPr>
        <w:pStyle w:val="868"/>
        <w:jc w:val="both"/>
        <w:spacing w:lineRule="auto" w:line="240" w:after="0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/>
    </w:p>
    <w:p>
      <w:pPr>
        <w:pStyle w:val="868"/>
        <w:jc w:val="both"/>
        <w:spacing w:lineRule="auto" w:line="240" w:after="0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/>
    </w:p>
    <w:p>
      <w:pPr>
        <w:pStyle w:val="868"/>
        <w:jc w:val="both"/>
        <w:spacing w:lineRule="auto" w:line="240" w:after="0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Члени комісії:</w:t>
      </w:r>
      <w:r/>
    </w:p>
    <w:tbl>
      <w:tblPr>
        <w:tblW w:w="0" w:type="auto"/>
        <w:tblInd w:w="28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12"/>
        <w:gridCol w:w="383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12" w:type="dxa"/>
            <w:vAlign w:val="top"/>
            <w:textDirection w:val="lrTb"/>
            <w:noWrap w:val="false"/>
          </w:tcPr>
          <w:p>
            <w:pPr>
              <w:pStyle w:val="868"/>
              <w:jc w:val="right"/>
              <w:spacing w:lineRule="auto" w:line="240"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868"/>
              <w:jc w:val="center"/>
              <w:spacing w:lineRule="auto" w:line="240"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__________________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836" w:type="dxa"/>
            <w:vAlign w:val="top"/>
            <w:textDirection w:val="lrTb"/>
            <w:noWrap w:val="false"/>
          </w:tcPr>
          <w:p>
            <w:pPr>
              <w:pStyle w:val="868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868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Тетяна МАРЦЕВА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12" w:type="dxa"/>
            <w:vAlign w:val="top"/>
            <w:textDirection w:val="lrTb"/>
            <w:noWrap w:val="false"/>
          </w:tcPr>
          <w:p>
            <w:pPr>
              <w:pStyle w:val="868"/>
              <w:jc w:val="right"/>
              <w:spacing w:lineRule="auto" w:line="240"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868"/>
              <w:jc w:val="center"/>
              <w:spacing w:lineRule="auto" w:line="240"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__________________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836" w:type="dxa"/>
            <w:vAlign w:val="top"/>
            <w:textDirection w:val="lrTb"/>
            <w:noWrap w:val="false"/>
          </w:tcPr>
          <w:p>
            <w:pPr>
              <w:pStyle w:val="868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r>
            <w:r/>
          </w:p>
          <w:p>
            <w:pPr>
              <w:pStyle w:val="868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таніслав ТАРГОНСЬКИЙ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12" w:type="dxa"/>
            <w:vAlign w:val="top"/>
            <w:textDirection w:val="lrTb"/>
            <w:noWrap w:val="false"/>
          </w:tcPr>
          <w:p>
            <w:pPr>
              <w:pStyle w:val="868"/>
              <w:jc w:val="right"/>
              <w:spacing w:lineRule="auto" w:line="240"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868"/>
              <w:jc w:val="center"/>
              <w:spacing w:lineRule="auto" w:line="240"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__________________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836" w:type="dxa"/>
            <w:vAlign w:val="top"/>
            <w:textDirection w:val="lrTb"/>
            <w:noWrap w:val="false"/>
          </w:tcPr>
          <w:p>
            <w:pPr>
              <w:pStyle w:val="868"/>
              <w:jc w:val="both"/>
              <w:spacing w:lineRule="auto" w:line="240" w:after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  <w:r/>
          </w:p>
          <w:p>
            <w:pPr>
              <w:pStyle w:val="868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ергій ЧЕПУРКО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r>
            <w:r/>
          </w:p>
        </w:tc>
      </w:tr>
    </w:tbl>
    <w:p>
      <w:pPr>
        <w:pStyle w:val="868"/>
        <w:jc w:val="right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68"/>
        <w:jc w:val="right"/>
        <w:spacing w:lineRule="auto" w:line="240" w:after="0"/>
        <w:rPr>
          <w:rFonts w:ascii="Times New Roman" w:hAnsi="Times New Roman" w:eastAsia="Times New Roman"/>
          <w:sz w:val="20"/>
          <w:szCs w:val="20"/>
          <w:lang w:val="ru-RU"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eastAsia="Times New Roman"/>
          <w:sz w:val="20"/>
          <w:szCs w:val="20"/>
          <w:lang w:val="ru-RU" w:eastAsia="ru-RU"/>
        </w:rPr>
        <w:t xml:space="preserve">Додаток 1</w:t>
      </w:r>
      <w:r>
        <w:rPr>
          <w:rFonts w:ascii="Times New Roman" w:hAnsi="Times New Roman" w:eastAsia="Times New Roman"/>
          <w:sz w:val="20"/>
          <w:szCs w:val="20"/>
          <w:lang w:val="ru-RU" w:eastAsia="ru-RU"/>
        </w:rPr>
      </w:r>
      <w:r/>
    </w:p>
    <w:p>
      <w:pPr>
        <w:pStyle w:val="868"/>
        <w:jc w:val="right"/>
        <w:spacing w:lineRule="auto" w:line="240" w:after="0"/>
        <w:rPr>
          <w:rFonts w:ascii="Times New Roman" w:hAnsi="Times New Roman" w:eastAsia="Times New Roman"/>
          <w:sz w:val="20"/>
          <w:szCs w:val="20"/>
          <w:lang w:val="ru-RU" w:eastAsia="ru-RU"/>
        </w:rPr>
      </w:pPr>
      <w:r>
        <w:rPr>
          <w:rFonts w:ascii="Times New Roman" w:hAnsi="Times New Roman" w:eastAsia="Times New Roman"/>
          <w:sz w:val="20"/>
          <w:szCs w:val="20"/>
          <w:lang w:val="ru-RU" w:eastAsia="ru-RU"/>
        </w:rPr>
      </w:r>
      <w:r/>
    </w:p>
    <w:p>
      <w:pPr>
        <w:pStyle w:val="868"/>
        <w:jc w:val="right"/>
        <w:spacing w:lineRule="auto" w:line="240" w:after="0"/>
        <w:rPr>
          <w:rFonts w:ascii="Times New Roman" w:hAnsi="Times New Roman" w:eastAsia="Times New Roman"/>
          <w:sz w:val="20"/>
          <w:szCs w:val="20"/>
          <w:lang w:val="ru-RU" w:eastAsia="ru-RU"/>
        </w:rPr>
      </w:pPr>
      <w:r>
        <w:rPr>
          <w:rFonts w:ascii="Times New Roman" w:hAnsi="Times New Roman" w:eastAsia="Times New Roman"/>
          <w:sz w:val="20"/>
          <w:szCs w:val="20"/>
          <w:lang w:val="ru-RU" w:eastAsia="ru-RU"/>
        </w:rPr>
      </w:r>
      <w:r/>
    </w:p>
    <w:p>
      <w:pPr>
        <w:pStyle w:val="868"/>
        <w:jc w:val="right"/>
        <w:spacing w:lineRule="auto" w:line="240" w:after="0"/>
        <w:rPr>
          <w:rFonts w:ascii="Times New Roman" w:hAnsi="Times New Roman" w:eastAsia="Times New Roman"/>
          <w:sz w:val="20"/>
          <w:szCs w:val="20"/>
          <w:lang w:val="ru-RU" w:eastAsia="ru-RU"/>
        </w:rPr>
      </w:pPr>
      <w:r>
        <w:rPr>
          <w:rFonts w:ascii="Times New Roman" w:hAnsi="Times New Roman" w:eastAsia="Times New Roman"/>
          <w:sz w:val="20"/>
          <w:szCs w:val="20"/>
          <w:lang w:val="ru-RU" w:eastAsia="ru-RU"/>
        </w:rPr>
      </w:r>
      <w:r/>
    </w:p>
    <w:p>
      <w:pPr>
        <w:pStyle w:val="868"/>
        <w:jc w:val="center"/>
        <w:spacing w:lineRule="auto" w:line="240" w:after="0"/>
        <w:rPr>
          <w:rFonts w:ascii="Times New Roman" w:hAnsi="Times New Roman" w:eastAsia="Times New Roman"/>
          <w:b/>
          <w:sz w:val="20"/>
          <w:szCs w:val="20"/>
          <w:lang w:val="ru-RU"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val="ru-RU" w:eastAsia="ru-RU"/>
        </w:rPr>
        <w:t xml:space="preserve">Розрахунок розміру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збитків</w:t>
      </w:r>
      <w:r>
        <w:rPr>
          <w:rFonts w:ascii="Times New Roman" w:hAnsi="Times New Roman" w:eastAsia="Times New Roman"/>
          <w:b/>
          <w:sz w:val="24"/>
          <w:szCs w:val="24"/>
          <w:lang w:val="ru-RU" w:eastAsia="ru-RU"/>
        </w:rPr>
        <w:t xml:space="preserve"> заподіяних Менській міській раді внаслідок використання </w:t>
      </w:r>
      <w:r>
        <w:rPr>
          <w:rFonts w:ascii="Times New Roman" w:hAnsi="Times New Roman" w:eastAsia="Times New Roman"/>
          <w:b/>
          <w:sz w:val="23"/>
          <w:szCs w:val="23"/>
          <w:lang w:val="ru-RU" w:eastAsia="ru-RU"/>
        </w:rPr>
        <w:t xml:space="preserve">ПП „РЕГІОН-СЕРВІС-ДМ”</w:t>
      </w:r>
      <w:r>
        <w:rPr>
          <w:rFonts w:ascii="Times New Roman" w:hAnsi="Times New Roman" w:eastAsia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hAnsi="Times New Roman" w:eastAsia="Times New Roman"/>
          <w:b/>
          <w:sz w:val="23"/>
          <w:szCs w:val="23"/>
          <w:lang w:val="ru-RU" w:eastAsia="ru-RU"/>
        </w:rPr>
        <w:t xml:space="preserve">та ПП «Міжрайпаливо»</w:t>
      </w:r>
      <w:r>
        <w:rPr>
          <w:rFonts w:ascii="Times New Roman" w:hAnsi="Times New Roman" w:eastAsia="Times New Roman"/>
          <w:sz w:val="23"/>
          <w:szCs w:val="23"/>
          <w:lang w:val="ru-RU" w:eastAsia="ru-RU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  <w:lang w:val="ru-RU" w:eastAsia="ru-RU"/>
        </w:rPr>
        <w:t xml:space="preserve">земельних ділянок</w:t>
      </w:r>
      <w:r>
        <w:rPr>
          <w:rFonts w:ascii="Times New Roman" w:hAnsi="Times New Roman" w:eastAsia="Times New Roman"/>
          <w:b/>
          <w:sz w:val="24"/>
          <w:szCs w:val="24"/>
          <w:lang w:val="ru-RU" w:eastAsia="ru-RU"/>
        </w:rPr>
        <w:t xml:space="preserve"> без правовстановлюючих документів за</w:t>
      </w:r>
      <w:r>
        <w:rPr>
          <w:rFonts w:ascii="Times New Roman" w:hAnsi="Times New Roman" w:eastAsia="Times New Roman"/>
          <w:b/>
          <w:sz w:val="24"/>
          <w:szCs w:val="24"/>
          <w:lang w:val="ru-RU" w:eastAsia="ru-RU"/>
        </w:rPr>
        <w:t xml:space="preserve"> період</w:t>
      </w:r>
      <w:r>
        <w:rPr>
          <w:rFonts w:ascii="Times New Roman" w:hAnsi="Times New Roman" w:eastAsia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eastAsia="Times New Roman"/>
          <w:b/>
          <w:sz w:val="24"/>
          <w:szCs w:val="24"/>
          <w:lang w:val="ru-RU" w:eastAsia="ru-RU"/>
        </w:rPr>
        <w:t xml:space="preserve">(01.09.2019-31.08.2022</w:t>
      </w:r>
      <w:r>
        <w:rPr>
          <w:rFonts w:ascii="Times New Roman" w:hAnsi="Times New Roman" w:eastAsia="Times New Roman"/>
          <w:b/>
          <w:sz w:val="24"/>
          <w:szCs w:val="24"/>
          <w:lang w:val="ru-RU" w:eastAsia="ru-RU"/>
        </w:rPr>
        <w:t xml:space="preserve">)</w:t>
      </w:r>
      <w:r>
        <w:rPr>
          <w:rFonts w:ascii="Times New Roman" w:hAnsi="Times New Roman" w:eastAsia="Times New Roman"/>
          <w:b/>
          <w:sz w:val="20"/>
          <w:szCs w:val="20"/>
          <w:lang w:val="ru-RU" w:eastAsia="ru-RU"/>
        </w:rPr>
      </w:r>
      <w:r/>
    </w:p>
    <w:p>
      <w:pPr>
        <w:pStyle w:val="868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w:t xml:space="preserve">Збитки =</w:t>
      </w:r>
      <w:r>
        <w:rPr>
          <w:rFonts w:ascii="Times New Roman" w:hAnsi="Times New Roman" w:eastAsia="Times New Roman"/>
          <w:position w:val="-12"/>
          <w:sz w:val="24"/>
          <w:szCs w:val="24"/>
          <w:lang w:val="ru-RU" w:eastAsia="ru-RU"/>
        </w:rPr>
        <w:object w:dxaOrig="480" w:dyaOrig="48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24.0pt;height:24.0pt;" filled="f" stroked="f">
            <v:path textboxrect="0,0,0,0"/>
            <v:imagedata r:id="rId10" o:title=""/>
          </v:shape>
          <o:OLEObject DrawAspect="Content" r:id="rId11" ObjectID="_1525040" ProgID="" ShapeID="_x0000_i0" Type="Embed"/>
        </w:object>
      </w:r>
      <w:r>
        <w:rPr>
          <w:rFonts w:ascii="Times New Roman" w:hAnsi="Times New Roman" w:eastAsia="Times New Roman"/>
          <w:sz w:val="24"/>
          <w:szCs w:val="24"/>
          <w:lang w:val="ru-RU" w:eastAsia="ru-RU"/>
        </w:rPr>
        <w:t xml:space="preserve">*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НГО</w:t>
      </w:r>
      <w:r>
        <w:rPr>
          <w:rFonts w:ascii="Times New Roman" w:hAnsi="Times New Roman" w:eastAsia="Times New Roman"/>
          <w:sz w:val="24"/>
          <w:szCs w:val="24"/>
          <w:lang w:val="ru-RU"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68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де НГО – нормативно-грошова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оцінка земельної ділянки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68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– частка в % відповідно до цільового призначення земельних ділянок визначена рішенням Менської міської ради (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27 сесія Менської міської ради 6 скликання від 28.06.2013 року «Про орендну плату за земельні ділянки»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сесія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Менської міської ради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7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скликання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від 10 липня 2020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року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№257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; 7 сесія Менської міської ради 8 скликання від 30 червня 2021 року №322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)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868"/>
        <w:jc w:val="both"/>
        <w:spacing w:lineRule="auto" w:line="240" w:after="0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</w:r>
      <w:r/>
    </w:p>
    <w:p>
      <w:pPr>
        <w:pStyle w:val="868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val="ru-RU" w:eastAsia="ru-RU"/>
        </w:rPr>
        <w:t xml:space="preserve">В – 8 % 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землі промисловості</w:t>
      </w:r>
      <w:r/>
    </w:p>
    <w:p>
      <w:pPr>
        <w:pStyle w:val="86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W w:w="10632" w:type="dxa"/>
        <w:tblInd w:w="-102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3"/>
        <w:gridCol w:w="2552"/>
        <w:gridCol w:w="1134"/>
        <w:gridCol w:w="2410"/>
        <w:gridCol w:w="425"/>
        <w:gridCol w:w="1276"/>
        <w:gridCol w:w="1276"/>
        <w:gridCol w:w="1276"/>
      </w:tblGrid>
      <w:tr>
        <w:trPr>
          <w:trHeight w:val="1369"/>
        </w:trPr>
        <w:tc>
          <w:tcPr>
            <w:tcW w:w="283" w:type="dxa"/>
            <w:vAlign w:val="top"/>
            <w:textDirection w:val="lrTb"/>
            <w:noWrap w:val="false"/>
          </w:tcPr>
          <w:p>
            <w:pPr>
              <w:pStyle w:val="868"/>
              <w:ind w:firstLine="400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  <w:t xml:space="preserve">№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</w:r>
            <w:r/>
          </w:p>
          <w:p>
            <w:pPr>
              <w:pStyle w:val="868"/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r>
            <w:r/>
          </w:p>
          <w:p>
            <w:pPr>
              <w:pStyle w:val="868"/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  <w:t xml:space="preserve">№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r>
            <w:r/>
          </w:p>
        </w:tc>
        <w:tc>
          <w:tcPr>
            <w:tcW w:w="2552" w:type="dxa"/>
            <w:vAlign w:val="top"/>
            <w:textDirection w:val="lrTb"/>
            <w:noWrap w:val="false"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  <w:t xml:space="preserve">Суб’єкт господарювання</w:t>
            </w:r>
            <w:r/>
          </w:p>
        </w:tc>
        <w:tc>
          <w:tcPr>
            <w:tcW w:w="1134" w:type="dxa"/>
            <w:vAlign w:val="top"/>
            <w:textDirection w:val="lrTb"/>
            <w:noWrap w:val="false"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  <w:t xml:space="preserve">Загальна площа, га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  <w:t xml:space="preserve">Кадастровий номер</w:t>
            </w:r>
            <w:r/>
          </w:p>
        </w:tc>
        <w:tc>
          <w:tcPr>
            <w:tcW w:w="425" w:type="dxa"/>
            <w:vAlign w:val="top"/>
            <w:textDirection w:val="lrTb"/>
            <w:noWrap w:val="false"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  <w:t xml:space="preserve">В,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  <w:t xml:space="preserve">%</w:t>
            </w:r>
            <w:r/>
          </w:p>
        </w:tc>
        <w:tc>
          <w:tcPr>
            <w:tcW w:w="1276" w:type="dxa"/>
            <w:vAlign w:val="top"/>
            <w:textDirection w:val="lrTb"/>
            <w:noWrap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  <w:t xml:space="preserve">НГО (01.09.2019-31.12.2021), грн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  <w:t xml:space="preserve">НГО (01.01.2022-21.08.2022), грн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68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  <w:t xml:space="preserve">Сума збитків за 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  <w:t xml:space="preserve">період (01.09.2019-31.08.2022рр)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  <w:t xml:space="preserve">, грн</w:t>
            </w:r>
            <w:r/>
          </w:p>
        </w:tc>
      </w:tr>
      <w:tr>
        <w:trPr>
          <w:trHeight w:val="707"/>
        </w:trPr>
        <w:tc>
          <w:tcPr>
            <w:tcW w:w="283" w:type="dxa"/>
            <w:vAlign w:val="center"/>
            <w:textDirection w:val="lrTb"/>
            <w:noWrap w:val="false"/>
          </w:tcPr>
          <w:p>
            <w:pPr>
              <w:pStyle w:val="868"/>
              <w:jc w:val="right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  <w:t xml:space="preserve">1</w:t>
            </w:r>
            <w:r/>
          </w:p>
        </w:tc>
        <w:tc>
          <w:tcPr>
            <w:tcW w:w="2552" w:type="dxa"/>
            <w:vAlign w:val="bottom"/>
            <w:textDirection w:val="lrTb"/>
            <w:noWrap w:val="false"/>
          </w:tcPr>
          <w:p>
            <w:pPr>
              <w:pStyle w:val="868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  <w:t xml:space="preserve">ПП „РЕГІОН-СЕРВІС-ДМ”,</w:t>
              <w:br/>
              <w:t xml:space="preserve">м. Мена, вул. Шевченка,82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  <w:t xml:space="preserve">1,5245</w:t>
            </w:r>
            <w:r/>
          </w:p>
        </w:tc>
        <w:tc>
          <w:tcPr>
            <w:tcW w:w="2410" w:type="dxa"/>
            <w:vAlign w:val="top"/>
            <w:textDirection w:val="lrTb"/>
            <w:noWrap w:val="false"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r>
            <w:r/>
          </w:p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  <w:t xml:space="preserve">7423010100:01:003:0944</w:t>
            </w:r>
            <w:r/>
          </w:p>
        </w:tc>
        <w:tc>
          <w:tcPr>
            <w:tcW w:w="425" w:type="dxa"/>
            <w:vAlign w:val="center"/>
            <w:textDirection w:val="lrTb"/>
            <w:noWrap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  <w:t xml:space="preserve">8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  <w:t xml:space="preserve">2149406,22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ru-RU" w:eastAsia="ru-RU"/>
              </w:rPr>
              <w:t xml:space="preserve">1970289,04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ru-RU" w:eastAsia="ru-RU"/>
              </w:rPr>
            </w:r>
            <w:r/>
          </w:p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ru-RU" w:eastAsia="ru-RU"/>
              </w:rPr>
            </w:r>
            <w:r/>
          </w:p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  <w:t xml:space="preserve">1426088,46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</w:r>
            <w:r/>
          </w:p>
        </w:tc>
      </w:tr>
      <w:tr>
        <w:trPr>
          <w:trHeight w:val="70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pStyle w:val="868"/>
              <w:jc w:val="right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pStyle w:val="868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  <w:t xml:space="preserve">ПП „Міжрайпаливо”,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  <w:br/>
              <w:t xml:space="preserve">м. Мена, вул. Шевченка,93</w:t>
            </w: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  <w:t xml:space="preserve">2,2600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r>
            <w:r/>
          </w:p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  <w:t xml:space="preserve">--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" w:type="dxa"/>
            <w:vAlign w:val="center"/>
            <w:textDirection w:val="lrTb"/>
            <w:noWrap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val="ru-RU" w:eastAsia="ru-RU"/>
              </w:rPr>
              <w:t xml:space="preserve">6638321,39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ru-RU" w:eastAsia="ru-RU"/>
              </w:rPr>
              <w:t xml:space="preserve">3505033,69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ru-RU" w:eastAsia="ru-RU"/>
              </w:rPr>
            </w:r>
            <w:r/>
          </w:p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bCs/>
                <w:sz w:val="20"/>
                <w:szCs w:val="20"/>
                <w:lang w:val="ru-RU" w:eastAsia="ru-RU"/>
              </w:rPr>
            </w:r>
            <w:r/>
          </w:p>
          <w:p>
            <w:pPr>
              <w:pStyle w:val="868"/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  <w:t xml:space="preserve">506304,58</w:t>
            </w: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ru-RU" w:eastAsia="ru-RU"/>
              </w:rPr>
            </w:r>
            <w:r/>
          </w:p>
        </w:tc>
      </w:tr>
    </w:tbl>
    <w:p>
      <w:pPr>
        <w:pStyle w:val="868"/>
        <w:tabs>
          <w:tab w:val="left" w:pos="1275" w:leader="none"/>
        </w:tabs>
      </w:pPr>
      <w:r/>
      <w:r/>
    </w:p>
    <w:p>
      <w:pPr>
        <w:pStyle w:val="868"/>
        <w:tabs>
          <w:tab w:val="left" w:pos="1275" w:leader="none"/>
        </w:tabs>
      </w:pPr>
      <w:r/>
      <w:r/>
    </w:p>
    <w:p>
      <w:pPr>
        <w:pStyle w:val="868"/>
        <w:tabs>
          <w:tab w:val="left" w:pos="1275" w:leader="none"/>
        </w:tabs>
      </w:pPr>
      <w:r/>
      <w:r/>
    </w:p>
    <w:p>
      <w:pPr>
        <w:pStyle w:val="868"/>
        <w:tabs>
          <w:tab w:val="left" w:pos="1275" w:leader="none"/>
        </w:tabs>
      </w:pPr>
      <w:r/>
      <w:r/>
    </w:p>
    <w:p>
      <w:pPr>
        <w:pStyle w:val="868"/>
        <w:tabs>
          <w:tab w:val="left" w:pos="1275" w:leader="none"/>
        </w:tabs>
      </w:pPr>
      <w:r/>
      <w:r/>
    </w:p>
    <w:p>
      <w:pPr>
        <w:pStyle w:val="868"/>
        <w:tabs>
          <w:tab w:val="left" w:pos="1275" w:leader="none"/>
        </w:tabs>
      </w:pPr>
      <w:r/>
      <w:r/>
    </w:p>
    <w:p>
      <w:pPr>
        <w:pStyle w:val="868"/>
        <w:tabs>
          <w:tab w:val="left" w:pos="1275" w:leader="none"/>
        </w:tabs>
      </w:pPr>
      <w:r/>
      <w:r/>
    </w:p>
    <w:p>
      <w:pPr>
        <w:pStyle w:val="868"/>
        <w:tabs>
          <w:tab w:val="left" w:pos="1275" w:leader="none"/>
        </w:tabs>
      </w:pPr>
      <w:r/>
      <w:r/>
    </w:p>
    <w:p>
      <w:pPr>
        <w:pStyle w:val="868"/>
        <w:tabs>
          <w:tab w:val="left" w:pos="1275" w:leader="none"/>
        </w:tabs>
      </w:pPr>
      <w:r/>
      <w:r/>
    </w:p>
    <w:p>
      <w:pPr>
        <w:pStyle w:val="868"/>
        <w:tabs>
          <w:tab w:val="left" w:pos="1275" w:leader="none"/>
        </w:tabs>
      </w:pPr>
      <w:r/>
      <w:r/>
    </w:p>
    <w:p>
      <w:pPr>
        <w:pStyle w:val="868"/>
        <w:tabs>
          <w:tab w:val="left" w:pos="1275" w:leader="none"/>
        </w:tabs>
      </w:pPr>
      <w:r/>
      <w:r/>
    </w:p>
    <w:p>
      <w:pPr>
        <w:pStyle w:val="868"/>
        <w:tabs>
          <w:tab w:val="left" w:pos="1275" w:leader="none"/>
        </w:tabs>
      </w:pPr>
      <w:r/>
      <w:r/>
    </w:p>
    <w:p>
      <w:pPr>
        <w:pStyle w:val="868"/>
        <w:tabs>
          <w:tab w:val="left" w:pos="1275" w:leader="none"/>
        </w:tabs>
      </w:pPr>
      <w:r/>
      <w:r/>
    </w:p>
    <w:p>
      <w:pPr>
        <w:pStyle w:val="868"/>
        <w:tabs>
          <w:tab w:val="left" w:pos="1275" w:leader="none"/>
        </w:tabs>
      </w:pPr>
      <w:r/>
      <w:r/>
    </w:p>
    <w:p>
      <w:pPr>
        <w:pStyle w:val="868"/>
        <w:tabs>
          <w:tab w:val="left" w:pos="1275" w:leader="none"/>
        </w:tabs>
      </w:pPr>
      <w:r/>
      <w:r/>
    </w:p>
    <w:sectPr>
      <w:footnotePr/>
      <w:endnotePr/>
      <w:type w:val="nextPage"/>
      <w:pgSz w:w="11906" w:h="16838" w:orient="portrait"/>
      <w:pgMar w:top="719" w:right="746" w:bottom="719" w:left="16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8"/>
        <w:ind w:left="1492" w:hanging="360"/>
        <w:tabs>
          <w:tab w:val="num" w:pos="14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8"/>
        <w:ind w:left="1209" w:hanging="360"/>
        <w:tabs>
          <w:tab w:val="num" w:pos="120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8"/>
        <w:ind w:left="926" w:hanging="360"/>
        <w:tabs>
          <w:tab w:val="num" w:pos="92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8"/>
        <w:ind w:left="643" w:hanging="360"/>
        <w:tabs>
          <w:tab w:val="num" w:pos="643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6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00" w:hanging="360"/>
        <w:tabs>
          <w:tab w:val="num" w:pos="900" w:leader="none"/>
        </w:tabs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60" w:hanging="180"/>
        <w:tabs>
          <w:tab w:val="num" w:pos="6660" w:leader="none"/>
        </w:tabs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68"/>
        <w:ind w:left="900" w:hanging="360"/>
        <w:tabs>
          <w:tab w:val="num" w:pos="900" w:leader="none"/>
        </w:tabs>
      </w:pPr>
      <w:rPr>
        <w:rFonts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60" w:hanging="180"/>
        <w:tabs>
          <w:tab w:val="num" w:pos="66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720" w:hanging="360"/>
        <w:tabs>
          <w:tab w:val="num" w:pos="720" w:leader="none"/>
        </w:tabs>
      </w:pPr>
      <w:rPr>
        <w:rFonts w:eastAsia="Times New Roman"/>
        <w:sz w:val="27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2496" w:hanging="360"/>
        <w:tabs>
          <w:tab w:val="num" w:pos="2496" w:leader="none"/>
        </w:tabs>
      </w:pPr>
      <w:rPr>
        <w:b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2508" w:hanging="360"/>
        <w:tabs>
          <w:tab w:val="num" w:pos="250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3228" w:hanging="180"/>
        <w:tabs>
          <w:tab w:val="num" w:pos="322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948" w:hanging="360"/>
        <w:tabs>
          <w:tab w:val="num" w:pos="394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4668" w:hanging="360"/>
        <w:tabs>
          <w:tab w:val="num" w:pos="466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5388" w:hanging="180"/>
        <w:tabs>
          <w:tab w:val="num" w:pos="538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6108" w:hanging="360"/>
        <w:tabs>
          <w:tab w:val="num" w:pos="610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6828" w:hanging="360"/>
        <w:tabs>
          <w:tab w:val="num" w:pos="682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7548" w:hanging="180"/>
        <w:tabs>
          <w:tab w:val="num" w:pos="7548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1428" w:hanging="360"/>
        <w:tabs>
          <w:tab w:val="num" w:pos="14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2148" w:hanging="360"/>
        <w:tabs>
          <w:tab w:val="num" w:pos="21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868" w:hanging="180"/>
        <w:tabs>
          <w:tab w:val="num" w:pos="28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588" w:hanging="360"/>
        <w:tabs>
          <w:tab w:val="num" w:pos="35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4308" w:hanging="360"/>
        <w:tabs>
          <w:tab w:val="num" w:pos="43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5028" w:hanging="180"/>
        <w:tabs>
          <w:tab w:val="num" w:pos="5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748" w:hanging="360"/>
        <w:tabs>
          <w:tab w:val="num" w:pos="57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6468" w:hanging="360"/>
        <w:tabs>
          <w:tab w:val="num" w:pos="64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7188" w:hanging="180"/>
        <w:tabs>
          <w:tab w:val="num" w:pos="7188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1428" w:hanging="360"/>
        <w:tabs>
          <w:tab w:val="num" w:pos="14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2148" w:hanging="360"/>
        <w:tabs>
          <w:tab w:val="num" w:pos="21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868" w:hanging="180"/>
        <w:tabs>
          <w:tab w:val="num" w:pos="28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588" w:hanging="360"/>
        <w:tabs>
          <w:tab w:val="num" w:pos="35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4308" w:hanging="360"/>
        <w:tabs>
          <w:tab w:val="num" w:pos="43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5028" w:hanging="180"/>
        <w:tabs>
          <w:tab w:val="num" w:pos="5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748" w:hanging="360"/>
        <w:tabs>
          <w:tab w:val="num" w:pos="57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6468" w:hanging="360"/>
        <w:tabs>
          <w:tab w:val="num" w:pos="64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7188" w:hanging="180"/>
        <w:tabs>
          <w:tab w:val="num" w:pos="7188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1428" w:hanging="360"/>
        <w:tabs>
          <w:tab w:val="num" w:pos="14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2148" w:hanging="360"/>
        <w:tabs>
          <w:tab w:val="num" w:pos="21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868" w:hanging="180"/>
        <w:tabs>
          <w:tab w:val="num" w:pos="28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588" w:hanging="360"/>
        <w:tabs>
          <w:tab w:val="num" w:pos="35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4308" w:hanging="360"/>
        <w:tabs>
          <w:tab w:val="num" w:pos="43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5028" w:hanging="180"/>
        <w:tabs>
          <w:tab w:val="num" w:pos="5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748" w:hanging="360"/>
        <w:tabs>
          <w:tab w:val="num" w:pos="57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6468" w:hanging="360"/>
        <w:tabs>
          <w:tab w:val="num" w:pos="64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7188" w:hanging="180"/>
        <w:tabs>
          <w:tab w:val="num" w:pos="7188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1428" w:hanging="360"/>
        <w:tabs>
          <w:tab w:val="num" w:pos="1428" w:leader="none"/>
        </w:tabs>
      </w:pPr>
      <w:rPr>
        <w:b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2148" w:hanging="360"/>
        <w:tabs>
          <w:tab w:val="num" w:pos="21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868" w:hanging="180"/>
        <w:tabs>
          <w:tab w:val="num" w:pos="28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588" w:hanging="360"/>
        <w:tabs>
          <w:tab w:val="num" w:pos="35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4308" w:hanging="360"/>
        <w:tabs>
          <w:tab w:val="num" w:pos="43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5028" w:hanging="180"/>
        <w:tabs>
          <w:tab w:val="num" w:pos="5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748" w:hanging="360"/>
        <w:tabs>
          <w:tab w:val="num" w:pos="57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6468" w:hanging="360"/>
        <w:tabs>
          <w:tab w:val="num" w:pos="64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7188" w:hanging="180"/>
        <w:tabs>
          <w:tab w:val="num" w:pos="7188" w:leader="none"/>
        </w:tabs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pStyle w:val="868"/>
        <w:ind w:left="6164" w:hanging="5625"/>
        <w:tabs>
          <w:tab w:val="num" w:pos="616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619" w:hanging="360"/>
        <w:tabs>
          <w:tab w:val="num" w:pos="161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339" w:hanging="180"/>
        <w:tabs>
          <w:tab w:val="num" w:pos="233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059" w:hanging="360"/>
        <w:tabs>
          <w:tab w:val="num" w:pos="305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779" w:hanging="360"/>
        <w:tabs>
          <w:tab w:val="num" w:pos="377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499" w:hanging="180"/>
        <w:tabs>
          <w:tab w:val="num" w:pos="449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219" w:hanging="360"/>
        <w:tabs>
          <w:tab w:val="num" w:pos="521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939" w:hanging="360"/>
        <w:tabs>
          <w:tab w:val="num" w:pos="593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659" w:hanging="180"/>
        <w:tabs>
          <w:tab w:val="num" w:pos="6659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480" w:hanging="18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1287" w:hanging="360"/>
        <w:tabs>
          <w:tab w:val="num" w:pos="1287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868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868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868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868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868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868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868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868"/>
        <w:tabs>
          <w:tab w:val="num" w:pos="36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90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84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480" w:hanging="18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68"/>
        <w:ind w:left="720" w:hanging="360"/>
        <w:tabs>
          <w:tab w:val="num" w:pos="720" w:leader="none"/>
        </w:tabs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6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6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6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6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6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6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6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6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1428" w:hanging="360"/>
        <w:tabs>
          <w:tab w:val="num" w:pos="14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2148" w:hanging="360"/>
        <w:tabs>
          <w:tab w:val="num" w:pos="21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868" w:hanging="180"/>
        <w:tabs>
          <w:tab w:val="num" w:pos="28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3588" w:hanging="360"/>
        <w:tabs>
          <w:tab w:val="num" w:pos="35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4308" w:hanging="360"/>
        <w:tabs>
          <w:tab w:val="num" w:pos="43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5028" w:hanging="180"/>
        <w:tabs>
          <w:tab w:val="num" w:pos="5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748" w:hanging="360"/>
        <w:tabs>
          <w:tab w:val="num" w:pos="57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6468" w:hanging="360"/>
        <w:tabs>
          <w:tab w:val="num" w:pos="64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7188" w:hanging="180"/>
        <w:tabs>
          <w:tab w:val="num" w:pos="7188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720" w:hanging="360"/>
      </w:pPr>
      <w:rPr>
        <w:rFonts w:ascii="Times New Roman" w:hAnsi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0"/>
  </w:num>
  <w:num w:numId="14">
    <w:abstractNumId w:val="12"/>
  </w:num>
  <w:num w:numId="15">
    <w:abstractNumId w:val="25"/>
  </w:num>
  <w:num w:numId="16">
    <w:abstractNumId w:val="26"/>
  </w:num>
  <w:num w:numId="17">
    <w:abstractNumId w:val="27"/>
  </w:num>
  <w:num w:numId="18">
    <w:abstractNumId w:val="15"/>
  </w:num>
  <w:num w:numId="19">
    <w:abstractNumId w:val="19"/>
  </w:num>
  <w:num w:numId="20">
    <w:abstractNumId w:val="14"/>
  </w:num>
  <w:num w:numId="21">
    <w:abstractNumId w:val="16"/>
  </w:num>
  <w:num w:numId="22">
    <w:abstractNumId w:val="10"/>
  </w:num>
  <w:num w:numId="23">
    <w:abstractNumId w:val="22"/>
  </w:num>
  <w:num w:numId="24">
    <w:abstractNumId w:val="21"/>
  </w:num>
  <w:num w:numId="25">
    <w:abstractNumId w:val="13"/>
  </w:num>
  <w:num w:numId="26">
    <w:abstractNumId w:val="18"/>
  </w:num>
  <w:num w:numId="27">
    <w:abstractNumId w:val="17"/>
  </w:num>
  <w:num w:numId="28">
    <w:abstractNumId w:val="1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link w:val="6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1">
    <w:name w:val="Heading 1 Char"/>
    <w:link w:val="690"/>
    <w:uiPriority w:val="9"/>
    <w:rPr>
      <w:rFonts w:ascii="Arial" w:hAnsi="Arial" w:cs="Arial" w:eastAsia="Arial"/>
      <w:sz w:val="40"/>
      <w:szCs w:val="40"/>
    </w:rPr>
  </w:style>
  <w:style w:type="paragraph" w:styleId="692">
    <w:name w:val="Heading 2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3">
    <w:name w:val="Heading 2 Char"/>
    <w:link w:val="692"/>
    <w:uiPriority w:val="9"/>
    <w:rPr>
      <w:rFonts w:ascii="Arial" w:hAnsi="Arial" w:cs="Arial" w:eastAsia="Arial"/>
      <w:sz w:val="34"/>
    </w:rPr>
  </w:style>
  <w:style w:type="paragraph" w:styleId="694">
    <w:name w:val="Heading 3"/>
    <w:link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5">
    <w:name w:val="Heading 3 Char"/>
    <w:link w:val="694"/>
    <w:uiPriority w:val="9"/>
    <w:rPr>
      <w:rFonts w:ascii="Arial" w:hAnsi="Arial" w:cs="Arial" w:eastAsia="Arial"/>
      <w:sz w:val="30"/>
      <w:szCs w:val="30"/>
    </w:rPr>
  </w:style>
  <w:style w:type="paragraph" w:styleId="696">
    <w:name w:val="Heading 4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7">
    <w:name w:val="Heading 4 Char"/>
    <w:link w:val="696"/>
    <w:uiPriority w:val="9"/>
    <w:rPr>
      <w:rFonts w:ascii="Arial" w:hAnsi="Arial" w:cs="Arial" w:eastAsia="Arial"/>
      <w:b/>
      <w:bCs/>
      <w:sz w:val="26"/>
      <w:szCs w:val="26"/>
    </w:rPr>
  </w:style>
  <w:style w:type="paragraph" w:styleId="698">
    <w:name w:val="Heading 5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9">
    <w:name w:val="Heading 5 Char"/>
    <w:link w:val="698"/>
    <w:uiPriority w:val="9"/>
    <w:rPr>
      <w:rFonts w:ascii="Arial" w:hAnsi="Arial" w:cs="Arial" w:eastAsia="Arial"/>
      <w:b/>
      <w:bCs/>
      <w:sz w:val="24"/>
      <w:szCs w:val="24"/>
    </w:rPr>
  </w:style>
  <w:style w:type="paragraph" w:styleId="700">
    <w:name w:val="Heading 6"/>
    <w:link w:val="7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1">
    <w:name w:val="Heading 6 Char"/>
    <w:link w:val="700"/>
    <w:uiPriority w:val="9"/>
    <w:rPr>
      <w:rFonts w:ascii="Arial" w:hAnsi="Arial" w:cs="Arial" w:eastAsia="Arial"/>
      <w:b/>
      <w:bCs/>
      <w:sz w:val="22"/>
      <w:szCs w:val="22"/>
    </w:rPr>
  </w:style>
  <w:style w:type="paragraph" w:styleId="702">
    <w:name w:val="Heading 7"/>
    <w:link w:val="7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3">
    <w:name w:val="Heading 7 Char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4">
    <w:name w:val="Heading 8"/>
    <w:link w:val="7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5">
    <w:name w:val="Heading 8 Char"/>
    <w:link w:val="704"/>
    <w:uiPriority w:val="9"/>
    <w:rPr>
      <w:rFonts w:ascii="Arial" w:hAnsi="Arial" w:cs="Arial" w:eastAsia="Arial"/>
      <w:i/>
      <w:iCs/>
      <w:sz w:val="22"/>
      <w:szCs w:val="22"/>
    </w:rPr>
  </w:style>
  <w:style w:type="paragraph" w:styleId="706">
    <w:name w:val="Heading 9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>
    <w:name w:val="Heading 9 Char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List Paragraph"/>
    <w:qFormat/>
    <w:uiPriority w:val="34"/>
    <w:pPr>
      <w:contextualSpacing w:val="true"/>
      <w:ind w:left="720"/>
    </w:pPr>
  </w:style>
  <w:style w:type="paragraph" w:styleId="709">
    <w:name w:val="No Spacing"/>
    <w:qFormat/>
    <w:uiPriority w:val="1"/>
    <w:pPr>
      <w:spacing w:lineRule="auto" w:line="240" w:after="0" w:before="0"/>
    </w:pPr>
  </w:style>
  <w:style w:type="paragraph" w:styleId="710">
    <w:name w:val="Title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>
    <w:name w:val="Title Char"/>
    <w:link w:val="710"/>
    <w:uiPriority w:val="10"/>
    <w:rPr>
      <w:sz w:val="48"/>
      <w:szCs w:val="48"/>
    </w:rPr>
  </w:style>
  <w:style w:type="paragraph" w:styleId="712">
    <w:name w:val="Subtitle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>
    <w:name w:val="Subtitle Char"/>
    <w:link w:val="712"/>
    <w:uiPriority w:val="11"/>
    <w:rPr>
      <w:sz w:val="24"/>
      <w:szCs w:val="24"/>
    </w:rPr>
  </w:style>
  <w:style w:type="paragraph" w:styleId="714">
    <w:name w:val="Quote"/>
    <w:link w:val="715"/>
    <w:qFormat/>
    <w:uiPriority w:val="29"/>
    <w:rPr>
      <w:i/>
    </w:rPr>
    <w:pPr>
      <w:ind w:left="720" w:right="720"/>
    </w:p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link w:val="71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Header Char"/>
    <w:link w:val="718"/>
    <w:uiPriority w:val="99"/>
  </w:style>
  <w:style w:type="paragraph" w:styleId="720">
    <w:name w:val="Footer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Footer Char"/>
    <w:link w:val="720"/>
    <w:uiPriority w:val="99"/>
  </w:style>
  <w:style w:type="paragraph" w:styleId="72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720"/>
    <w:uiPriority w:val="99"/>
  </w:style>
  <w:style w:type="table" w:styleId="72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uiPriority w:val="99"/>
    <w:unhideWhenUsed/>
    <w:rPr>
      <w:vertAlign w:val="superscript"/>
    </w:rPr>
  </w:style>
  <w:style w:type="paragraph" w:styleId="854">
    <w:name w:val="endnote text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uiPriority w:val="99"/>
    <w:semiHidden/>
    <w:unhideWhenUsed/>
    <w:rPr>
      <w:vertAlign w:val="superscript"/>
    </w:rPr>
  </w:style>
  <w:style w:type="paragraph" w:styleId="857">
    <w:name w:val="toc 1"/>
    <w:uiPriority w:val="39"/>
    <w:unhideWhenUsed/>
    <w:pPr>
      <w:ind w:left="0" w:right="0" w:firstLine="0"/>
      <w:spacing w:after="57"/>
    </w:pPr>
  </w:style>
  <w:style w:type="paragraph" w:styleId="858">
    <w:name w:val="toc 2"/>
    <w:uiPriority w:val="39"/>
    <w:unhideWhenUsed/>
    <w:pPr>
      <w:ind w:left="283" w:right="0" w:firstLine="0"/>
      <w:spacing w:after="57"/>
    </w:pPr>
  </w:style>
  <w:style w:type="paragraph" w:styleId="859">
    <w:name w:val="toc 3"/>
    <w:uiPriority w:val="39"/>
    <w:unhideWhenUsed/>
    <w:pPr>
      <w:ind w:left="567" w:right="0" w:firstLine="0"/>
      <w:spacing w:after="57"/>
    </w:pPr>
  </w:style>
  <w:style w:type="paragraph" w:styleId="860">
    <w:name w:val="toc 4"/>
    <w:uiPriority w:val="39"/>
    <w:unhideWhenUsed/>
    <w:pPr>
      <w:ind w:left="850" w:right="0" w:firstLine="0"/>
      <w:spacing w:after="57"/>
    </w:pPr>
  </w:style>
  <w:style w:type="paragraph" w:styleId="861">
    <w:name w:val="toc 5"/>
    <w:uiPriority w:val="39"/>
    <w:unhideWhenUsed/>
    <w:pPr>
      <w:ind w:left="1134" w:right="0" w:firstLine="0"/>
      <w:spacing w:after="57"/>
    </w:pPr>
  </w:style>
  <w:style w:type="paragraph" w:styleId="862">
    <w:name w:val="toc 6"/>
    <w:uiPriority w:val="39"/>
    <w:unhideWhenUsed/>
    <w:pPr>
      <w:ind w:left="1417" w:right="0" w:firstLine="0"/>
      <w:spacing w:after="57"/>
    </w:pPr>
  </w:style>
  <w:style w:type="paragraph" w:styleId="863">
    <w:name w:val="toc 7"/>
    <w:uiPriority w:val="39"/>
    <w:unhideWhenUsed/>
    <w:pPr>
      <w:ind w:left="1701" w:right="0" w:firstLine="0"/>
      <w:spacing w:after="57"/>
    </w:pPr>
  </w:style>
  <w:style w:type="paragraph" w:styleId="864">
    <w:name w:val="toc 8"/>
    <w:uiPriority w:val="39"/>
    <w:unhideWhenUsed/>
    <w:pPr>
      <w:ind w:left="1984" w:right="0" w:firstLine="0"/>
      <w:spacing w:after="57"/>
    </w:pPr>
  </w:style>
  <w:style w:type="paragraph" w:styleId="865">
    <w:name w:val="toc 9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uiPriority w:val="99"/>
    <w:unhideWhenUsed/>
    <w:pPr>
      <w:spacing w:after="0" w:afterAutospacing="0"/>
    </w:pPr>
  </w:style>
  <w:style w:type="paragraph" w:styleId="868">
    <w:name w:val="Обычный"/>
    <w:next w:val="868"/>
    <w:link w:val="868"/>
    <w:rPr>
      <w:sz w:val="22"/>
      <w:szCs w:val="22"/>
      <w:lang w:val="uk-UA" w:bidi="ar-SA" w:eastAsia="en-US"/>
    </w:rPr>
    <w:pPr>
      <w:spacing w:lineRule="auto" w:line="276" w:after="200"/>
    </w:pPr>
  </w:style>
  <w:style w:type="character" w:styleId="869">
    <w:name w:val="Основной шрифт абзаца, Знак Знак Знак Знак Знак1 Знак Знак Знак Знак Знак Знак Знак Знак Знак"/>
    <w:next w:val="869"/>
    <w:link w:val="884"/>
    <w:semiHidden/>
  </w:style>
  <w:style w:type="table" w:styleId="870">
    <w:name w:val="Обычная таблица"/>
    <w:next w:val="870"/>
    <w:link w:val="868"/>
    <w:semiHidden/>
    <w:tblPr/>
  </w:style>
  <w:style w:type="numbering" w:styleId="871">
    <w:name w:val="Нет списка"/>
    <w:next w:val="871"/>
    <w:link w:val="868"/>
    <w:semiHidden/>
  </w:style>
  <w:style w:type="paragraph" w:styleId="872">
    <w:name w:val="Абзац списка"/>
    <w:basedOn w:val="868"/>
    <w:next w:val="872"/>
    <w:link w:val="868"/>
    <w:pPr>
      <w:contextualSpacing w:val="true"/>
      <w:ind w:left="720"/>
    </w:pPr>
  </w:style>
  <w:style w:type="paragraph" w:styleId="873">
    <w:name w:val=" Знак Знак Знак Знак1 Знак Знак Знак Знак Знак"/>
    <w:basedOn w:val="868"/>
    <w:next w:val="873"/>
    <w:link w:val="868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character" w:styleId="874">
    <w:name w:val="Гиперссылка"/>
    <w:next w:val="874"/>
    <w:link w:val="868"/>
    <w:rPr>
      <w:color w:val="0000FF"/>
      <w:u w:val="single"/>
    </w:rPr>
  </w:style>
  <w:style w:type="paragraph" w:styleId="875">
    <w:name w:val=" Знак Знак Знак Знак Знак1 Знак"/>
    <w:basedOn w:val="868"/>
    <w:next w:val="875"/>
    <w:link w:val="868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paragraph" w:styleId="876">
    <w:name w:val=" Знак Знак Знак Знак Знак"/>
    <w:basedOn w:val="868"/>
    <w:next w:val="876"/>
    <w:link w:val="868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paragraph" w:styleId="877">
    <w:name w:val=" Знак Знак Знак Знак Знак Знак Знак Знак"/>
    <w:basedOn w:val="868"/>
    <w:next w:val="877"/>
    <w:link w:val="868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paragraph" w:styleId="878">
    <w:name w:val=" Знак Знак Знак Знак Знак Знак Знак Знак Знак Знак Знак"/>
    <w:basedOn w:val="868"/>
    <w:next w:val="878"/>
    <w:link w:val="868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paragraph" w:styleId="879">
    <w:name w:val=" Знак Знак"/>
    <w:basedOn w:val="868"/>
    <w:next w:val="879"/>
    <w:link w:val="868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paragraph" w:styleId="880">
    <w:name w:val=" Знак Знак Знак Знак Знак Знак Знак Знак Знак Знак Знак Знак Знак Знак Знак Знак Знак Знак Знак Знак"/>
    <w:basedOn w:val="868"/>
    <w:next w:val="880"/>
    <w:link w:val="868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paragraph" w:styleId="881">
    <w:name w:val=" Знак Знак Знак Знак Знак Знак Знак Знак Знак Знак Знак Знак Знак Знак Знак Знак Знак Знак Знак Знак Знак Знак Знак"/>
    <w:basedOn w:val="868"/>
    <w:next w:val="881"/>
    <w:link w:val="868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paragraph" w:styleId="882">
    <w:name w:val=" Знак Знак Знак Знак Знак Знак Знак Знак Знак Знак Знак Знак Знак Знак Знак Знак Знак Знак Знак Знак Знак"/>
    <w:basedOn w:val="868"/>
    <w:next w:val="882"/>
    <w:link w:val="869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paragraph" w:styleId="883">
    <w:name w:val=" Знак Знак Знак Знак Знак Знак Знак Знак Знак"/>
    <w:basedOn w:val="868"/>
    <w:next w:val="883"/>
    <w:link w:val="868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paragraph" w:styleId="884">
    <w:name w:val=" Знак Знак Знак Знак Знак1 Знак Знак Знак Знак Знак Знак Знак"/>
    <w:basedOn w:val="868"/>
    <w:next w:val="884"/>
    <w:link w:val="869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paragraph" w:styleId="885">
    <w:name w:val=" Знак Знак Знак Знак Знак Знак Знак Знак Знак Знак Знак Знак Знак Знак Знак Знак Знак Знак Знак Знак Знак Знак Знак Знак Знак Знак"/>
    <w:basedOn w:val="868"/>
    <w:next w:val="885"/>
    <w:link w:val="868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paragraph" w:styleId="886">
    <w:name w:val=" Знак Знак Знак Знак Знак Знак Знак Знак Знак Знак Знак Знак Знак Знак Знак Знак Знак Знак Знак Знак Знак Знак Знак1 Знак Знак Знак"/>
    <w:basedOn w:val="868"/>
    <w:next w:val="886"/>
    <w:link w:val="868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paragraph" w:styleId="887">
    <w:name w:val=" Знак Знак Знак Знак Знак Знак Знак Знак Знак Знак Знак Знак Знак Знак"/>
    <w:basedOn w:val="868"/>
    <w:next w:val="887"/>
    <w:link w:val="868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paragraph" w:styleId="888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868"/>
    <w:next w:val="888"/>
    <w:link w:val="868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paragraph" w:styleId="889">
    <w:name w:val=" Знак Знак Знак"/>
    <w:basedOn w:val="868"/>
    <w:next w:val="889"/>
    <w:link w:val="868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table" w:styleId="890">
    <w:name w:val="Обычная таблица1"/>
    <w:next w:val="870"/>
    <w:link w:val="868"/>
    <w:semiHidden/>
    <w:rPr>
      <w:rFonts w:ascii="Times New Roman" w:hAnsi="Times New Roman" w:eastAsia="Times New Roman"/>
      <w:lang w:val="uk-UA" w:bidi="ar-SA" w:eastAsia="uk-UA"/>
    </w:rPr>
    <w:tblPr/>
  </w:style>
  <w:style w:type="table" w:styleId="891">
    <w:name w:val="Сетка таблицы"/>
    <w:basedOn w:val="870"/>
    <w:next w:val="891"/>
    <w:link w:val="868"/>
    <w:pPr>
      <w:spacing w:lineRule="auto" w:line="276" w:after="200"/>
    </w:pPr>
    <w:tblPr/>
  </w:style>
  <w:style w:type="paragraph" w:styleId="892">
    <w:name w:val="Стандартный HTML"/>
    <w:basedOn w:val="868"/>
    <w:next w:val="892"/>
    <w:link w:val="868"/>
    <w:rPr>
      <w:rFonts w:ascii="Courier New" w:hAnsi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893">
    <w:name w:val="Текст выноски"/>
    <w:basedOn w:val="868"/>
    <w:next w:val="893"/>
    <w:link w:val="894"/>
    <w:rPr>
      <w:rFonts w:ascii="Segoe UI" w:hAnsi="Segoe UI"/>
      <w:sz w:val="18"/>
      <w:szCs w:val="18"/>
    </w:rPr>
    <w:pPr>
      <w:spacing w:lineRule="auto" w:line="240" w:after="0"/>
    </w:pPr>
  </w:style>
  <w:style w:type="character" w:styleId="894">
    <w:name w:val="Текст выноски Знак"/>
    <w:next w:val="894"/>
    <w:link w:val="893"/>
    <w:rPr>
      <w:rFonts w:ascii="Segoe UI" w:hAnsi="Segoe UI"/>
      <w:sz w:val="18"/>
      <w:szCs w:val="18"/>
      <w:lang w:eastAsia="en-US"/>
    </w:rPr>
  </w:style>
  <w:style w:type="character" w:styleId="895" w:default="1">
    <w:name w:val="Default Paragraph Font"/>
    <w:uiPriority w:val="1"/>
    <w:semiHidden/>
    <w:unhideWhenUsed/>
  </w:style>
  <w:style w:type="numbering" w:styleId="896" w:default="1">
    <w:name w:val="No List"/>
    <w:uiPriority w:val="99"/>
    <w:semiHidden/>
    <w:unhideWhenUsed/>
  </w:style>
  <w:style w:type="paragraph" w:styleId="897" w:default="1">
    <w:name w:val="Normal"/>
    <w:qFormat/>
  </w:style>
  <w:style w:type="table" w:styleId="89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wmf"/><Relationship Id="rId11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Марцева  Тетяна  Іванівна</cp:lastModifiedBy>
  <cp:revision>4</cp:revision>
  <dcterms:modified xsi:type="dcterms:W3CDTF">2022-09-09T14:34:37Z</dcterms:modified>
</cp:coreProperties>
</file>