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jc w:val="center"/>
        <w:spacing w:after="0" w:afterAutospacing="0" w:before="0" w:beforeAutospacing="0"/>
        <w:tabs>
          <w:tab w:val="left" w:pos="567" w:leader="none"/>
        </w:tabs>
      </w:pPr>
      <w:r/>
      <w:r/>
    </w:p>
    <w:p>
      <w:pPr>
        <w:pStyle w:val="743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7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43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43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743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43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засідання виконавчого комітету Менської міської ради </w:t>
      </w:r>
      <w:r/>
    </w:p>
    <w:p>
      <w:pPr>
        <w:pStyle w:val="743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(позачергове)</w:t>
      </w:r>
      <w:r/>
    </w:p>
    <w:p>
      <w:pPr>
        <w:pStyle w:val="743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18 серпня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10</w:t>
      </w:r>
      <w:r/>
    </w:p>
    <w:p>
      <w:pPr>
        <w:pStyle w:val="743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743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09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43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 рішенням 1 сесії 8 скликання Менської міської ради 16 грудня 202</w:t>
      </w:r>
      <w:r>
        <w:rPr>
          <w:color w:val="000000"/>
          <w:sz w:val="28"/>
          <w:szCs w:val="28"/>
        </w:rPr>
        <w:t xml:space="preserve">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 Менської 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додається)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 Менської міської ради 8 скликання 24 червня 2022 року № 201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743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Валеріївна, голов</w:t>
      </w:r>
      <w:r>
        <w:rPr>
          <w:color w:val="000000"/>
          <w:sz w:val="28"/>
          <w:szCs w:val="28"/>
          <w:lang w:val="uk-UA"/>
        </w:rPr>
        <w:t xml:space="preserve">ний спеціаліст в</w:t>
      </w:r>
      <w:r>
        <w:rPr>
          <w:color w:val="000000"/>
          <w:sz w:val="28"/>
          <w:szCs w:val="28"/>
          <w:lang w:val="uk-UA"/>
        </w:rPr>
        <w:t xml:space="preserve">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137 - 138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135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).</w:t>
      </w:r>
      <w:r/>
    </w:p>
    <w:p>
      <w:pPr>
        <w:pStyle w:val="74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 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7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Геннадій Анатолійович, міський голова</w:t>
      </w:r>
      <w:r/>
    </w:p>
    <w:p>
      <w:pPr>
        <w:pStyle w:val="743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 запропонував затвердити слідуючий порядок денний:</w:t>
      </w:r>
      <w:r/>
    </w:p>
    <w:p>
      <w:pPr>
        <w:pStyle w:val="740"/>
        <w:jc w:val="both"/>
        <w:spacing w:lineRule="auto" w:line="276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135.</w:t>
      </w:r>
      <w:r>
        <w:rPr>
          <w:bCs/>
          <w:color w:val="000000"/>
          <w:sz w:val="28"/>
          <w:szCs w:val="28"/>
        </w:rPr>
        <w:t xml:space="preserve"> </w:t>
      </w:r>
      <w:bookmarkStart w:id="0" w:name="_Hlk114244657"/>
      <w:r>
        <w:rPr>
          <w:rStyle w:val="809"/>
          <w:rFonts w:eastAsia="Arial"/>
          <w:bCs/>
          <w:color w:val="000000"/>
          <w:sz w:val="28"/>
          <w:szCs w:val="28"/>
        </w:rPr>
        <w:t xml:space="preserve">Про затвердження рішення комісії щодо</w:t>
      </w:r>
      <w:r>
        <w:rPr>
          <w:bCs/>
          <w:color w:val="000000"/>
          <w:sz w:val="28"/>
          <w:szCs w:val="28"/>
        </w:rPr>
        <w:t xml:space="preserve"> надання дозволу на перерахування коштів зі спеціального рахунка як оплати за договором купівлі-продажу квартири особі з числа дітей-сиріт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Hlk111649569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Васильчук Олена Михайлівна, начальник Служби у справах дітей Менської міської ради.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136. </w:t>
      </w:r>
      <w:r>
        <w:rPr>
          <w:rStyle w:val="809"/>
          <w:rFonts w:ascii="Times New Roman" w:hAnsi="Times New Roman" w:cs="Times New Roman"/>
          <w:bCs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затвердження висновку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лужби у справах дітей про підтвердження місця проживання малолітньої дитини для тимчасового виїзду її за межі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Доповідає Васильчук Олена Михайлівна, начальник Служби у справах дітей Менської міської ради.</w:t>
      </w:r>
      <w:bookmarkEnd w:id="1"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      137.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Доповідає 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138. </w:t>
      </w:r>
      <w:bookmarkStart w:id="2" w:name="_Hlk114245631"/>
      <w:r>
        <w:rPr>
          <w:bCs/>
          <w:color w:val="000000"/>
          <w:sz w:val="28"/>
          <w:szCs w:val="28"/>
        </w:rPr>
        <w:t xml:space="preserve">Про погодження річного плану надання послуг з централізованого водопостачання та централізованого водовідведення на 2023 рік ТОВ «Менський комунальник».</w:t>
      </w:r>
      <w:r>
        <w:rPr>
          <w:rFonts w:eastAsia="Calibri"/>
          <w:sz w:val="28"/>
          <w:szCs w:val="28"/>
        </w:rPr>
        <w:t xml:space="preserve"> </w:t>
      </w:r>
      <w:bookmarkEnd w:id="2"/>
      <w:r/>
    </w:p>
    <w:p>
      <w:pPr>
        <w:pStyle w:val="740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bCs/>
          <w:iCs/>
          <w:sz w:val="28"/>
          <w:szCs w:val="28"/>
          <w:lang w:eastAsia="zh-CN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Васильчук О.М. про </w:t>
      </w:r>
      <w:r>
        <w:rPr>
          <w:sz w:val="28"/>
          <w:szCs w:val="28"/>
        </w:rPr>
        <w:t xml:space="preserve">необхідність затвердити</w:t>
      </w:r>
      <w:r>
        <w:rPr>
          <w:sz w:val="28"/>
          <w:szCs w:val="28"/>
        </w:rPr>
        <w:t xml:space="preserve"> рішення комісії з питань формування пропозицій  щодо потреби та спрямування субвенції з державного бюджету на придбання житла та приміщень для роз</w:t>
      </w:r>
      <w:r>
        <w:rPr>
          <w:sz w:val="28"/>
          <w:szCs w:val="28"/>
        </w:rPr>
        <w:t xml:space="preserve">витку сімейних та інших форм виховання, забезпечення житлом дітей-сиріт, дітей, позбавлених батьківського піклування, осіб з їх числа та виплату грошової компенсації за належні для отримання житлові приміщення, оформлене протоколом № 6 від 15 серпня 2022 р</w:t>
      </w:r>
      <w:r>
        <w:rPr>
          <w:sz w:val="28"/>
          <w:szCs w:val="28"/>
        </w:rPr>
        <w:t xml:space="preserve">оку та н</w:t>
      </w:r>
      <w:r>
        <w:rPr>
          <w:sz w:val="28"/>
          <w:szCs w:val="28"/>
        </w:rPr>
        <w:t xml:space="preserve">адати дозвіл на </w:t>
      </w:r>
      <w:r>
        <w:rPr>
          <w:sz w:val="28"/>
        </w:rPr>
        <w:t xml:space="preserve">перерахування коштів зі спеціального</w:t>
      </w:r>
      <w:r>
        <w:rPr>
          <w:sz w:val="28"/>
          <w:lang w:val="uk-UA"/>
        </w:rPr>
        <w:t xml:space="preserve"> рахунку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№ ........</w:t>
      </w:r>
      <w:r>
        <w:rPr>
          <w:sz w:val="28"/>
        </w:rPr>
        <w:t xml:space="preserve">, відкритого у філії - Чернігівське обласне управління АТ «Ощадбанк» на ім’я особи з числа дітей-сиріт Потапе</w:t>
      </w:r>
      <w:r>
        <w:rPr>
          <w:bCs/>
          <w:sz w:val="28"/>
          <w:szCs w:val="28"/>
        </w:rPr>
        <w:t xml:space="preserve">нка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Дмитра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Михайловича,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......року народження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№ ...., орган, що видав ... від .... року,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реєстраційний номер облікової картки платника податку .......</w:t>
      </w:r>
      <w:r>
        <w:rPr>
          <w:sz w:val="28"/>
          <w:szCs w:val="28"/>
        </w:rPr>
        <w:t xml:space="preserve">, зареєстрованого </w:t>
      </w:r>
      <w:r>
        <w:rPr>
          <w:bCs/>
          <w:sz w:val="28"/>
          <w:szCs w:val="28"/>
        </w:rPr>
        <w:t xml:space="preserve">за адресою, ........ Корюківського району, Чернігівської області</w:t>
      </w:r>
      <w:r>
        <w:rPr>
          <w:color w:val="000000"/>
          <w:sz w:val="28"/>
          <w:szCs w:val="28"/>
        </w:rPr>
        <w:t xml:space="preserve">, фактично проживаючого за адресою, ......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на рахунок № </w:t>
      </w:r>
      <w:r>
        <w:rPr>
          <w:sz w:val="28"/>
          <w:lang w:val="en-US"/>
        </w:rPr>
        <w:t xml:space="preserve">UA</w:t>
      </w:r>
      <w:r>
        <w:rPr>
          <w:sz w:val="28"/>
        </w:rPr>
        <w:t xml:space="preserve">....., відкритий в філії - Чернігівське обласне управління АТ „Ощадбанк” на ім’я ...... Алли Григорівни, </w:t>
      </w:r>
      <w:r>
        <w:rPr>
          <w:sz w:val="28"/>
          <w:szCs w:val="28"/>
        </w:rPr>
        <w:t xml:space="preserve">ідентифікаційний номер ......., </w:t>
      </w:r>
      <w:r>
        <w:rPr>
          <w:sz w:val="28"/>
          <w:szCs w:val="28"/>
          <w:lang w:eastAsia="uk-UA"/>
        </w:rPr>
        <w:t xml:space="preserve">в сумі 450988,00</w:t>
      </w:r>
      <w:r>
        <w:rPr>
          <w:color w:val="000000"/>
          <w:sz w:val="28"/>
          <w:szCs w:val="28"/>
        </w:rPr>
        <w:t xml:space="preserve"> грн. (чотириста п’ятдесят тисяч дев’ятсот вісімдесят вісім) гривень 00 копійок, </w:t>
      </w:r>
      <w:r>
        <w:rPr>
          <w:sz w:val="28"/>
          <w:szCs w:val="28"/>
        </w:rPr>
        <w:t xml:space="preserve">як оплату за договором купівлі-продажу квартири </w:t>
      </w:r>
      <w:r>
        <w:rPr>
          <w:sz w:val="28"/>
        </w:rPr>
        <w:t xml:space="preserve"> від 12 серпня 2022 року, серія та номер...., посвідченим приватним нотаріусом Корюківського районного нотаріального округу Чернігівської області Дремлюгою Р.М..</w:t>
      </w:r>
      <w:r>
        <w:rPr>
          <w:sz w:val="28"/>
          <w:szCs w:val="28"/>
        </w:rPr>
        <w:t xml:space="preserve"> </w:t>
      </w:r>
      <w:r/>
    </w:p>
    <w:p>
      <w:pPr>
        <w:pStyle w:val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запитав у членів викон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</w:rPr>
        <w:t xml:space="preserve">ому чи є запитання по даному питанню.</w:t>
      </w:r>
      <w:r/>
    </w:p>
    <w:p>
      <w:pPr>
        <w:pStyle w:val="738"/>
        <w:ind w:left="0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738"/>
        <w:ind w:left="0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Небера О.Л.</w:t>
      </w:r>
      <w:r/>
    </w:p>
    <w:p>
      <w:pPr>
        <w:pStyle w:val="738"/>
        <w:ind w:left="0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у членів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запитання до запропонованого рішення по даному питанню.</w:t>
      </w:r>
      <w:r/>
    </w:p>
    <w:p>
      <w:pPr>
        <w:pStyle w:val="740"/>
        <w:jc w:val="both"/>
        <w:spacing w:lineRule="auto" w:line="276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bookmarkStart w:id="3" w:name="_Hlk114244708"/>
      <w:r>
        <w:rPr>
          <w:rStyle w:val="809"/>
          <w:rFonts w:eastAsia="Arial"/>
          <w:bCs/>
          <w:color w:val="000000"/>
          <w:sz w:val="28"/>
          <w:szCs w:val="28"/>
        </w:rPr>
        <w:t xml:space="preserve">Про затвердження рішення комісії щодо</w:t>
      </w:r>
      <w:r>
        <w:rPr>
          <w:bCs/>
          <w:color w:val="000000"/>
          <w:sz w:val="28"/>
          <w:szCs w:val="28"/>
        </w:rPr>
        <w:t xml:space="preserve"> надання дозволу на перерахування коштів зі спеціального рахунка як оплати за договором купівлі-продажу квартири особі з числа дітей-сиріт</w:t>
      </w:r>
      <w:r>
        <w:rPr>
          <w:bCs/>
          <w:color w:val="000000"/>
          <w:sz w:val="28"/>
          <w:szCs w:val="28"/>
          <w:lang w:val="uk-UA"/>
        </w:rPr>
        <w:t xml:space="preserve">.</w:t>
      </w:r>
      <w:bookmarkEnd w:id="3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135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lang w:val="uk-UA"/>
        </w:rPr>
        <w:t xml:space="preserve">Про затвердження рішення комісії щодо надання дозволу на перерахування коштів зі спеціального рахунка як оплати за договором купівлі-продажу квартири особі з числа дітей-сиріт</w:t>
      </w:r>
      <w:r>
        <w:rPr>
          <w:bCs/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43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eastAsia="zh-CN"/>
        </w:rPr>
        <w:t xml:space="preserve">заяву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eastAsia="zh-CN"/>
        </w:rPr>
        <w:t xml:space="preserve">про підтвердження місця проживання малолітньої дитини разом з матір’ю від ....., матері малолітньої дитини ....... року народження, та інші надані д</w:t>
      </w:r>
      <w:r>
        <w:rPr>
          <w:sz w:val="28"/>
          <w:szCs w:val="28"/>
          <w:lang w:eastAsia="zh-CN"/>
        </w:rPr>
        <w:t xml:space="preserve">окументи. Олена Михайлівна запропонувала прийняти рішення про </w:t>
      </w:r>
      <w:r>
        <w:rPr>
          <w:sz w:val="28"/>
          <w:szCs w:val="28"/>
          <w:lang w:eastAsia="zh-CN"/>
        </w:rPr>
        <w:t xml:space="preserve">підтвердження місця проживання малолітньої дитини, ..... року народження, разом з матір’ю ........ року народження, для її тимчасового виїзду за межі України</w:t>
      </w:r>
      <w:r>
        <w:rPr>
          <w:sz w:val="28"/>
          <w:szCs w:val="28"/>
          <w:lang w:val="uk-UA" w:eastAsia="zh-CN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Головуючий запитав у членів виконкому чи є запитання по даному питанню.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О.Л.</w:t>
      </w:r>
      <w:r>
        <w:rPr>
          <w:sz w:val="28"/>
          <w:szCs w:val="28"/>
          <w:lang w:val="uk-UA"/>
        </w:rPr>
        <w:t xml:space="preserve">, Стародуб Л.О.</w:t>
      </w:r>
      <w:r/>
    </w:p>
    <w:p>
      <w:pPr>
        <w:pStyle w:val="743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Головуючий запитав, </w:t>
      </w:r>
      <w:r>
        <w:rPr>
          <w:color w:val="000000"/>
          <w:sz w:val="28"/>
          <w:szCs w:val="28"/>
          <w:lang w:val="uk-UA"/>
        </w:rPr>
        <w:t xml:space="preserve">чи є</w:t>
      </w:r>
      <w:r>
        <w:rPr>
          <w:color w:val="000000"/>
          <w:sz w:val="28"/>
          <w:szCs w:val="28"/>
          <w:lang w:val="uk-UA"/>
        </w:rPr>
        <w:t xml:space="preserve"> 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членів виконкому </w:t>
      </w:r>
      <w:r>
        <w:rPr>
          <w:color w:val="000000"/>
          <w:sz w:val="28"/>
          <w:szCs w:val="28"/>
          <w:lang w:val="uk-UA"/>
        </w:rPr>
        <w:t xml:space="preserve">запитання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запропонованого рішення по даному питанню.</w:t>
      </w:r>
      <w:r>
        <w:rPr>
          <w:rFonts w:asciiTheme="minorHAnsi" w:hAnsiTheme="minorHAnsi" w:eastAsiaTheme="minorHAnsi" w:cstheme="minorBidi"/>
          <w:sz w:val="28"/>
          <w:szCs w:val="28"/>
          <w:lang w:val="uk-UA" w:eastAsia="en-US"/>
        </w:rPr>
        <w:t xml:space="preserve"> 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Враховуючи, що  запитань немає, поставив на голосування проєкт рішення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 - </w:t>
      </w:r>
      <w:bookmarkStart w:id="4" w:name="_Hlk114245156"/>
      <w:r>
        <w:rPr>
          <w:rFonts w:asciiTheme="minorHAnsi" w:hAnsiTheme="minorHAnsi" w:eastAsiaTheme="minorHAnsi" w:cstheme="minorBidi"/>
          <w:bCs/>
          <w:color w:val="000000"/>
          <w:sz w:val="28"/>
          <w:szCs w:val="28"/>
          <w:lang w:val="uk-UA"/>
        </w:rPr>
        <w:t xml:space="preserve">Про затвердження висновку Служби у справах дітей про підтвердження місця проживання малолітньої дитини для тимчасового виїзду її за межі України</w:t>
      </w:r>
      <w:r>
        <w:rPr>
          <w:rFonts w:asciiTheme="minorHAnsi" w:hAnsiTheme="minorHAnsi" w:eastAsiaTheme="minorHAnsi" w:cstheme="minorBidi"/>
          <w:bCs/>
          <w:color w:val="000000"/>
          <w:sz w:val="28"/>
          <w:szCs w:val="28"/>
          <w:lang w:val="uk-UA"/>
        </w:rPr>
        <w:t xml:space="preserve">.</w:t>
      </w:r>
      <w:bookmarkEnd w:id="4"/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ГОЛОСУВАЛИ: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СЬ» - 2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ВИРІШИЛИ: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Рішення №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136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«</w:t>
      </w:r>
      <w:r>
        <w:rPr>
          <w:rFonts w:asciiTheme="minorHAnsi" w:hAnsiTheme="minorHAnsi" w:eastAsiaTheme="minorHAnsi" w:cstheme="minorBidi"/>
          <w:bCs/>
          <w:sz w:val="28"/>
          <w:szCs w:val="28"/>
          <w:lang w:val="uk-UA"/>
        </w:rPr>
        <w:t xml:space="preserve">Про затвердження висновку Служби у справах дітей про підтвердження місця проживання малолітньої дитини для тимчасового виїзду її за межі України</w:t>
      </w:r>
      <w:r>
        <w:rPr>
          <w:rFonts w:asciiTheme="minorHAnsi" w:hAnsiTheme="minorHAnsi" w:eastAsiaTheme="minorHAnsi" w:cstheme="minorBidi"/>
          <w:bCs/>
          <w:sz w:val="28"/>
          <w:szCs w:val="28"/>
          <w:lang w:val="uk-UA"/>
        </w:rPr>
        <w:t xml:space="preserve">»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- приймається (додається).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137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.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СЛУХАЛИ: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Єкименко І.В. про 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звернення Яковлєва Олександра Миколайовича, директора Менського санаторія «Остреч» Магаляс Зінаїди Іванівни, Полосьмака Володимира Ми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хайловича, Терентієвої Валентини Леонтіївни, Рогової Анастасії Петрівни, Буняк Валентини Віталіївни, Стрюк Олени Борисівни, Козак Тетяни Олександрівни, Лисича Михайла Олександровича про видалення зелених насаджень, які знаходяться в межах населених пунктів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. Ірина 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Валеріївна запропонувала, враховуючи 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акти  комісії Менської міської ради  по обстеженню зелених насаджень від 12.08.2022р.-16.08.2022р. №61-70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eastAsia="zh-CN"/>
        </w:rPr>
        <w:t xml:space="preserve">, надати дозвіл на видалення зелених насаджень згідно поданих звернень.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Головуючий запита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чи є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у членів виконкому запитання до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д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оповідача.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Враховуючи, що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 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запитань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не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має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, постави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на голосування проєкт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рішення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-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Про дозвіл на видалення аварійних та перерослих дерев.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ГОЛОСУВАЛИ: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СЬ» - немає;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ВИРІШИЛИ: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Рішення №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137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«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Про дозвіл на видаленн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я аварійних та перерослих дерев»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- приймається (додається).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138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.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СЛУХАЛИ: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Скорохода С.В. про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звернення директора ТОВ «Менський комунальник» 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 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Білика В. А. про розгляд та погодження річного плану надання послуг з централізованого водопостачання та централізованого  водовідведення на 2023 рік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, який передбачає обсяг підйому води, обсяг реалізації послуг централізованого водопостачання та ін.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Головуючий запита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чи є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ВИСТУПИЛИ: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Небера О.Л., Стародуб Л.О., Андрійченко Ю.М.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Головуючий запитав чи є ще у членів виконкому запитання до запропонованого рішення по даному питанню.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Враховуючи,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що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запитань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не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має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, постави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на голосування проєкт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рішення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- </w:t>
      </w:r>
      <w:r>
        <w:rPr>
          <w:rFonts w:asciiTheme="minorHAnsi" w:hAnsiTheme="minorHAnsi" w:eastAsiaTheme="minorHAnsi" w:cstheme="minorBidi"/>
          <w:bCs/>
          <w:color w:val="000000"/>
          <w:sz w:val="28"/>
          <w:szCs w:val="28"/>
        </w:rPr>
        <w:t xml:space="preserve">Про погодження річного плану надання послуг з централізованого водопостачання та централізованого водовідведення на 2023 рік ТОВ «Менський комунальник».</w:t>
      </w:r>
      <w:r>
        <w:rPr>
          <w:rFonts w:eastAsia="Calibri"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ГОЛОСУВАЛИ: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ВИРІШИЛИ: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Рішення №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138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«</w:t>
      </w:r>
      <w:r>
        <w:rPr>
          <w:rFonts w:asciiTheme="minorHAnsi" w:hAnsiTheme="minorHAnsi" w:eastAsiaTheme="minorHAnsi" w:cstheme="minorBidi"/>
          <w:bCs/>
          <w:color w:val="000000"/>
          <w:sz w:val="28"/>
          <w:szCs w:val="28"/>
        </w:rPr>
        <w:t xml:space="preserve">Про погодження річного плану надання послуг з централізованого водопостачання та централізованого водовідведення на 2023</w:t>
      </w:r>
      <w:r>
        <w:rPr>
          <w:rFonts w:asciiTheme="minorHAnsi" w:hAnsiTheme="minorHAnsi" w:eastAsiaTheme="minorHAnsi" w:cstheme="minorBidi"/>
          <w:bCs/>
          <w:color w:val="000000"/>
          <w:sz w:val="28"/>
          <w:szCs w:val="28"/>
        </w:rPr>
        <w:t xml:space="preserve"> рік ТОВ «Менський комунальник»</w:t>
      </w:r>
      <w:r>
        <w:rPr>
          <w:rFonts w:asciiTheme="minorHAnsi" w:hAnsiTheme="minorHAnsi" w:eastAsiaTheme="minorHAnsi" w:cstheme="minorBidi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-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приймається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(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додається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)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eastAsiaTheme="minorHAnsi" w:cstheme="minorBidi"/>
        </w:rPr>
      </w:r>
      <w:bookmarkStart w:id="5" w:name="_GoBack"/>
      <w:r>
        <w:rPr>
          <w:rFonts w:asciiTheme="minorHAnsi" w:hAnsiTheme="minorHAnsi" w:eastAsiaTheme="minorHAnsi" w:cstheme="minorBidi"/>
        </w:rPr>
      </w:r>
      <w:bookmarkEnd w:id="5"/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ab/>
        <w:t xml:space="preserve">Геннадій ПРИМАКОВ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Керуючий справами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 ради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ab/>
        <w:t xml:space="preserve">Людмила СТАРОДУБ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Batang">
    <w:panose1 w:val="02020603020101020101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59804710"/>
      <w:docPartObj>
        <w:docPartGallery w:val="Page Numbers (Top of Page)"/>
        <w:docPartUnique w:val="true"/>
      </w:docPartObj>
      <w:rPr/>
    </w:sdtPr>
    <w:sdtContent>
      <w:p>
        <w:pPr>
          <w:pStyle w:val="8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>
      <w:t xml:space="preserve">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23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7"/>
  </w:num>
  <w:num w:numId="20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8"/>
  </w:num>
  <w:num w:numId="25">
    <w:abstractNumId w:val="3"/>
  </w:num>
  <w:num w:numId="26">
    <w:abstractNumId w:val="20"/>
  </w:num>
  <w:num w:numId="27">
    <w:abstractNumId w:val="21"/>
  </w:num>
  <w:num w:numId="28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3"/>
    <w:next w:val="73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33"/>
    <w:next w:val="73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3"/>
    <w:next w:val="73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33"/>
    <w:next w:val="733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33"/>
    <w:next w:val="73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3"/>
    <w:next w:val="73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3"/>
    <w:next w:val="73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3"/>
    <w:next w:val="73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3"/>
    <w:next w:val="73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3"/>
    <w:next w:val="73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805"/>
    <w:uiPriority w:val="99"/>
  </w:style>
  <w:style w:type="character" w:styleId="43">
    <w:name w:val="Footer Char"/>
    <w:basedOn w:val="735"/>
    <w:link w:val="807"/>
    <w:uiPriority w:val="99"/>
  </w:style>
  <w:style w:type="paragraph" w:styleId="44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07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5"/>
    <w:uiPriority w:val="99"/>
    <w:unhideWhenUsed/>
    <w:rPr>
      <w:vertAlign w:val="superscript"/>
    </w:rPr>
  </w:style>
  <w:style w:type="paragraph" w:styleId="176">
    <w:name w:val="endnote text"/>
    <w:basedOn w:val="73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  <w:rPr>
      <w:lang w:val="uk-UA"/>
    </w:rPr>
    <w:pPr>
      <w:spacing w:lineRule="auto" w:line="259" w:after="160"/>
    </w:pPr>
  </w:style>
  <w:style w:type="paragraph" w:styleId="734">
    <w:name w:val="Heading 1"/>
    <w:basedOn w:val="733"/>
    <w:link w:val="761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35" w:default="1">
    <w:name w:val="Default Paragraph Font"/>
    <w:uiPriority w:val="1"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>
    <w:name w:val="List Paragraph"/>
    <w:basedOn w:val="733"/>
    <w:qFormat/>
    <w:uiPriority w:val="1"/>
    <w:pPr>
      <w:contextualSpacing w:val="true"/>
      <w:ind w:left="720"/>
    </w:pPr>
  </w:style>
  <w:style w:type="paragraph" w:styleId="739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40" w:customStyle="1">
    <w:name w:val="docdata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1">
    <w:name w:val="Balloon Text"/>
    <w:basedOn w:val="733"/>
    <w:link w:val="7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42" w:customStyle="1">
    <w:name w:val="Текст у виносці Знак"/>
    <w:basedOn w:val="735"/>
    <w:link w:val="741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43">
    <w:name w:val="Normal (Web)"/>
    <w:basedOn w:val="73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4" w:customStyle="1">
    <w:name w:val="rvps2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45" w:customStyle="1">
    <w:name w:val="3748"/>
    <w:basedOn w:val="735"/>
  </w:style>
  <w:style w:type="character" w:styleId="746" w:customStyle="1">
    <w:name w:val="1376"/>
    <w:basedOn w:val="735"/>
  </w:style>
  <w:style w:type="character" w:styleId="747" w:customStyle="1">
    <w:name w:val="1307"/>
    <w:basedOn w:val="735"/>
  </w:style>
  <w:style w:type="character" w:styleId="748" w:customStyle="1">
    <w:name w:val="2434"/>
    <w:basedOn w:val="735"/>
  </w:style>
  <w:style w:type="character" w:styleId="749" w:customStyle="1">
    <w:name w:val="3260"/>
    <w:basedOn w:val="735"/>
  </w:style>
  <w:style w:type="character" w:styleId="750" w:customStyle="1">
    <w:name w:val="Heading 3 Char"/>
    <w:basedOn w:val="735"/>
    <w:link w:val="751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31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2" w:customStyle="1">
    <w:name w:val="Heading 6 Char"/>
    <w:basedOn w:val="735"/>
    <w:link w:val="753"/>
    <w:uiPriority w:val="9"/>
    <w:rPr>
      <w:rFonts w:ascii="Arial" w:hAnsi="Arial" w:cs="Arial" w:eastAsia="Arial"/>
      <w:b/>
      <w:bCs/>
    </w:rPr>
  </w:style>
  <w:style w:type="paragraph" w:styleId="753" w:customStyle="1">
    <w:name w:val="Заголовок 61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4" w:customStyle="1">
    <w:name w:val="2189"/>
    <w:basedOn w:val="735"/>
  </w:style>
  <w:style w:type="character" w:styleId="755" w:customStyle="1">
    <w:name w:val="1568"/>
    <w:basedOn w:val="735"/>
  </w:style>
  <w:style w:type="character" w:styleId="756" w:customStyle="1">
    <w:name w:val="3431"/>
    <w:basedOn w:val="735"/>
  </w:style>
  <w:style w:type="character" w:styleId="757" w:customStyle="1">
    <w:name w:val="3174"/>
    <w:basedOn w:val="735"/>
  </w:style>
  <w:style w:type="character" w:styleId="758">
    <w:name w:val="Strong"/>
    <w:basedOn w:val="735"/>
    <w:qFormat/>
    <w:uiPriority w:val="22"/>
    <w:rPr>
      <w:b/>
      <w:bCs/>
    </w:rPr>
  </w:style>
  <w:style w:type="paragraph" w:styleId="759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60" w:customStyle="1">
    <w:name w:val="4679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61" w:customStyle="1">
    <w:name w:val="Заголовок 1 Знак"/>
    <w:basedOn w:val="735"/>
    <w:link w:val="734"/>
    <w:rPr>
      <w:rFonts w:ascii="Times New Roman" w:hAnsi="Times New Roman" w:cs="Times New Roman" w:eastAsia="Times New Roman"/>
      <w:b/>
      <w:bCs/>
      <w:lang w:eastAsia="ru-RU"/>
    </w:rPr>
  </w:style>
  <w:style w:type="table" w:styleId="762">
    <w:name w:val="Table Grid"/>
    <w:basedOn w:val="736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3" w:customStyle="1">
    <w:name w:val="6062"/>
    <w:basedOn w:val="735"/>
  </w:style>
  <w:style w:type="character" w:styleId="764" w:customStyle="1">
    <w:name w:val="2032"/>
    <w:basedOn w:val="735"/>
  </w:style>
  <w:style w:type="character" w:styleId="765" w:customStyle="1">
    <w:name w:val="3317"/>
    <w:basedOn w:val="735"/>
  </w:style>
  <w:style w:type="character" w:styleId="766" w:customStyle="1">
    <w:name w:val="2709"/>
    <w:basedOn w:val="735"/>
  </w:style>
  <w:style w:type="character" w:styleId="767" w:customStyle="1">
    <w:name w:val="3185"/>
    <w:basedOn w:val="735"/>
  </w:style>
  <w:style w:type="character" w:styleId="768" w:customStyle="1">
    <w:name w:val="4095"/>
    <w:basedOn w:val="735"/>
  </w:style>
  <w:style w:type="character" w:styleId="769" w:customStyle="1">
    <w:name w:val="1745"/>
    <w:basedOn w:val="735"/>
  </w:style>
  <w:style w:type="character" w:styleId="770" w:customStyle="1">
    <w:name w:val="2233"/>
    <w:basedOn w:val="735"/>
  </w:style>
  <w:style w:type="character" w:styleId="771" w:customStyle="1">
    <w:name w:val="2407"/>
    <w:basedOn w:val="735"/>
  </w:style>
  <w:style w:type="character" w:styleId="772" w:customStyle="1">
    <w:name w:val="2911"/>
    <w:basedOn w:val="735"/>
  </w:style>
  <w:style w:type="character" w:styleId="773" w:customStyle="1">
    <w:name w:val="2013"/>
    <w:basedOn w:val="735"/>
  </w:style>
  <w:style w:type="character" w:styleId="774" w:customStyle="1">
    <w:name w:val="2996"/>
    <w:basedOn w:val="735"/>
  </w:style>
  <w:style w:type="character" w:styleId="775" w:customStyle="1">
    <w:name w:val="1734"/>
    <w:basedOn w:val="735"/>
  </w:style>
  <w:style w:type="character" w:styleId="776" w:customStyle="1">
    <w:name w:val="2210"/>
    <w:basedOn w:val="735"/>
  </w:style>
  <w:style w:type="character" w:styleId="777" w:customStyle="1">
    <w:name w:val="1456"/>
    <w:basedOn w:val="735"/>
  </w:style>
  <w:style w:type="character" w:styleId="778" w:customStyle="1">
    <w:name w:val="1640"/>
    <w:basedOn w:val="735"/>
  </w:style>
  <w:style w:type="character" w:styleId="779" w:customStyle="1">
    <w:name w:val="1645"/>
    <w:basedOn w:val="735"/>
  </w:style>
  <w:style w:type="character" w:styleId="780" w:customStyle="1">
    <w:name w:val="2242"/>
    <w:basedOn w:val="735"/>
  </w:style>
  <w:style w:type="character" w:styleId="781" w:customStyle="1">
    <w:name w:val="3271"/>
    <w:basedOn w:val="735"/>
  </w:style>
  <w:style w:type="character" w:styleId="782" w:customStyle="1">
    <w:name w:val="2435"/>
    <w:basedOn w:val="735"/>
  </w:style>
  <w:style w:type="character" w:styleId="783" w:customStyle="1">
    <w:name w:val="3059"/>
    <w:basedOn w:val="735"/>
  </w:style>
  <w:style w:type="character" w:styleId="784" w:customStyle="1">
    <w:name w:val="1806"/>
    <w:basedOn w:val="735"/>
  </w:style>
  <w:style w:type="character" w:styleId="785" w:customStyle="1">
    <w:name w:val="2578"/>
    <w:basedOn w:val="735"/>
  </w:style>
  <w:style w:type="character" w:styleId="786" w:customStyle="1">
    <w:name w:val="5426"/>
    <w:basedOn w:val="735"/>
  </w:style>
  <w:style w:type="character" w:styleId="787" w:customStyle="1">
    <w:name w:val="2820"/>
    <w:basedOn w:val="735"/>
  </w:style>
  <w:style w:type="character" w:styleId="788" w:customStyle="1">
    <w:name w:val="1728"/>
    <w:basedOn w:val="735"/>
  </w:style>
  <w:style w:type="character" w:styleId="789" w:customStyle="1">
    <w:name w:val="1615"/>
    <w:basedOn w:val="735"/>
  </w:style>
  <w:style w:type="character" w:styleId="790" w:customStyle="1">
    <w:name w:val="2658"/>
    <w:basedOn w:val="735"/>
  </w:style>
  <w:style w:type="character" w:styleId="791" w:customStyle="1">
    <w:name w:val="1584"/>
    <w:basedOn w:val="735"/>
  </w:style>
  <w:style w:type="character" w:styleId="792" w:customStyle="1">
    <w:name w:val="1753"/>
    <w:basedOn w:val="735"/>
  </w:style>
  <w:style w:type="character" w:styleId="793" w:customStyle="1">
    <w:name w:val="2896"/>
    <w:basedOn w:val="735"/>
  </w:style>
  <w:style w:type="character" w:styleId="794" w:customStyle="1">
    <w:name w:val="1709"/>
    <w:basedOn w:val="735"/>
  </w:style>
  <w:style w:type="character" w:styleId="795" w:customStyle="1">
    <w:name w:val="2707"/>
    <w:basedOn w:val="735"/>
  </w:style>
  <w:style w:type="character" w:styleId="796" w:customStyle="1">
    <w:name w:val="1790"/>
    <w:basedOn w:val="735"/>
  </w:style>
  <w:style w:type="character" w:styleId="797" w:customStyle="1">
    <w:name w:val="1682"/>
    <w:basedOn w:val="735"/>
  </w:style>
  <w:style w:type="character" w:styleId="798" w:customStyle="1">
    <w:name w:val="2487"/>
    <w:basedOn w:val="735"/>
  </w:style>
  <w:style w:type="character" w:styleId="799" w:customStyle="1">
    <w:name w:val="2142"/>
    <w:basedOn w:val="735"/>
  </w:style>
  <w:style w:type="character" w:styleId="800" w:customStyle="1">
    <w:name w:val="3530"/>
    <w:basedOn w:val="735"/>
  </w:style>
  <w:style w:type="character" w:styleId="801" w:customStyle="1">
    <w:name w:val="1675"/>
    <w:basedOn w:val="735"/>
  </w:style>
  <w:style w:type="character" w:styleId="802" w:customStyle="1">
    <w:name w:val="2580"/>
    <w:basedOn w:val="735"/>
  </w:style>
  <w:style w:type="character" w:styleId="803" w:customStyle="1">
    <w:name w:val="3731"/>
    <w:basedOn w:val="735"/>
  </w:style>
  <w:style w:type="character" w:styleId="804" w:customStyle="1">
    <w:name w:val="3206"/>
    <w:basedOn w:val="735"/>
  </w:style>
  <w:style w:type="paragraph" w:styleId="805">
    <w:name w:val="Header"/>
    <w:basedOn w:val="733"/>
    <w:link w:val="8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6" w:customStyle="1">
    <w:name w:val="Верхній колонтитул Знак"/>
    <w:basedOn w:val="735"/>
    <w:link w:val="805"/>
    <w:uiPriority w:val="99"/>
    <w:rPr>
      <w:lang w:val="uk-UA"/>
    </w:rPr>
  </w:style>
  <w:style w:type="paragraph" w:styleId="807">
    <w:name w:val="Footer"/>
    <w:basedOn w:val="733"/>
    <w:link w:val="8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8" w:customStyle="1">
    <w:name w:val="Нижній колонтитул Знак"/>
    <w:basedOn w:val="735"/>
    <w:link w:val="807"/>
    <w:uiPriority w:val="99"/>
    <w:rPr>
      <w:lang w:val="uk-UA"/>
    </w:rPr>
  </w:style>
  <w:style w:type="character" w:styleId="809" w:customStyle="1">
    <w:name w:val="2088"/>
    <w:basedOn w:val="735"/>
  </w:style>
  <w:style w:type="paragraph" w:styleId="810" w:customStyle="1">
    <w:name w:val="Обычный"/>
    <w:rPr>
      <w:rFonts w:ascii="Times New Roman" w:hAnsi="Times New Roman" w:cs="Times New Roman" w:eastAsia="Batang"/>
      <w:sz w:val="24"/>
      <w:szCs w:val="24"/>
      <w:lang w:eastAsia="ru-RU"/>
    </w:rPr>
    <w:pPr>
      <w:spacing w:lineRule="auto" w:line="240" w:after="0"/>
    </w:pPr>
  </w:style>
  <w:style w:type="character" w:styleId="811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B323C66-FE13-4AD8-9D96-AA702C4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50</cp:revision>
  <dcterms:created xsi:type="dcterms:W3CDTF">2022-07-27T09:28:00Z</dcterms:created>
  <dcterms:modified xsi:type="dcterms:W3CDTF">2022-09-16T15:58:33Z</dcterms:modified>
</cp:coreProperties>
</file>