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BF2" w:rsidRDefault="00591C44">
      <w:pPr>
        <w:spacing w:after="0"/>
        <w:ind w:left="5669" w:right="283"/>
        <w:jc w:val="both"/>
        <w:rPr>
          <w:rFonts w:ascii="Times New Roman" w:eastAsia="Calibri" w:hAnsi="Times New Roman" w:cs="Times New Roman"/>
          <w:sz w:val="24"/>
          <w:lang w:eastAsia="en-US" w:bidi="en-US"/>
        </w:rPr>
      </w:pPr>
      <w:proofErr w:type="spellStart"/>
      <w:r>
        <w:rPr>
          <w:rFonts w:ascii="Times New Roman" w:eastAsia="Calibri" w:hAnsi="Times New Roman" w:cs="Times New Roman"/>
          <w:sz w:val="24"/>
          <w:lang w:eastAsia="en-US" w:bidi="en-US"/>
        </w:rPr>
        <w:t>Додаток</w:t>
      </w:r>
      <w:proofErr w:type="spellEnd"/>
      <w:r>
        <w:rPr>
          <w:rFonts w:ascii="Times New Roman" w:eastAsia="Calibri" w:hAnsi="Times New Roman" w:cs="Times New Roman"/>
          <w:sz w:val="24"/>
          <w:lang w:eastAsia="en-US" w:bidi="en-US"/>
        </w:rPr>
        <w:t xml:space="preserve"> </w:t>
      </w:r>
    </w:p>
    <w:p w:rsidR="007E1BF2" w:rsidRDefault="00591C44">
      <w:pPr>
        <w:spacing w:after="0"/>
        <w:ind w:left="5669" w:right="283"/>
        <w:jc w:val="both"/>
        <w:rPr>
          <w:rFonts w:ascii="Times New Roman" w:eastAsia="Calibri" w:hAnsi="Times New Roman" w:cs="Times New Roman"/>
          <w:sz w:val="24"/>
          <w:lang w:val="uk-UA" w:eastAsia="en-US" w:bidi="en-US"/>
        </w:rPr>
      </w:pPr>
      <w:r>
        <w:rPr>
          <w:rFonts w:ascii="Times New Roman" w:eastAsia="Calibri" w:hAnsi="Times New Roman" w:cs="Times New Roman"/>
          <w:sz w:val="24"/>
          <w:lang w:eastAsia="en-US" w:bidi="en-US"/>
        </w:rPr>
        <w:t xml:space="preserve">до </w:t>
      </w:r>
      <w:proofErr w:type="spellStart"/>
      <w:r>
        <w:rPr>
          <w:rFonts w:ascii="Times New Roman" w:eastAsia="Calibri" w:hAnsi="Times New Roman" w:cs="Times New Roman"/>
          <w:sz w:val="24"/>
          <w:lang w:eastAsia="en-US" w:bidi="en-US"/>
        </w:rPr>
        <w:t>рішення</w:t>
      </w:r>
      <w:proofErr w:type="spellEnd"/>
      <w:r>
        <w:rPr>
          <w:rFonts w:ascii="Times New Roman" w:eastAsia="Calibri" w:hAnsi="Times New Roman" w:cs="Times New Roman"/>
          <w:sz w:val="24"/>
          <w:lang w:eastAsia="en-US"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eastAsia="en-US" w:bidi="en-US"/>
        </w:rPr>
        <w:t>виконкому</w:t>
      </w:r>
      <w:proofErr w:type="spellEnd"/>
      <w:r>
        <w:rPr>
          <w:rFonts w:ascii="Times New Roman" w:eastAsia="Calibri" w:hAnsi="Times New Roman" w:cs="Times New Roman"/>
          <w:sz w:val="24"/>
          <w:lang w:eastAsia="en-US"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eastAsia="en-US" w:bidi="en-US"/>
        </w:rPr>
        <w:t>Менської</w:t>
      </w:r>
      <w:proofErr w:type="spellEnd"/>
      <w:r>
        <w:rPr>
          <w:rFonts w:ascii="Times New Roman" w:eastAsia="Calibri" w:hAnsi="Times New Roman" w:cs="Times New Roman"/>
          <w:sz w:val="24"/>
          <w:lang w:eastAsia="en-US"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eastAsia="en-US" w:bidi="en-US"/>
        </w:rPr>
        <w:t>міської</w:t>
      </w:r>
      <w:proofErr w:type="spellEnd"/>
      <w:r>
        <w:rPr>
          <w:rFonts w:ascii="Times New Roman" w:eastAsia="Calibri" w:hAnsi="Times New Roman" w:cs="Times New Roman"/>
          <w:sz w:val="24"/>
          <w:lang w:eastAsia="en-US" w:bidi="en-US"/>
        </w:rPr>
        <w:t xml:space="preserve"> ради   </w:t>
      </w:r>
    </w:p>
    <w:p w:rsidR="007E1BF2" w:rsidRPr="006B1CA3" w:rsidRDefault="00C73483">
      <w:pPr>
        <w:spacing w:after="0"/>
        <w:ind w:left="5669" w:right="283"/>
        <w:jc w:val="both"/>
        <w:rPr>
          <w:rFonts w:ascii="Times New Roman" w:eastAsia="Calibri" w:hAnsi="Times New Roman" w:cs="Times New Roman"/>
          <w:sz w:val="24"/>
          <w:lang w:val="uk-UA" w:eastAsia="en-US" w:bidi="en-US"/>
        </w:rPr>
      </w:pPr>
      <w:r>
        <w:rPr>
          <w:rFonts w:ascii="Times New Roman" w:eastAsia="Calibri" w:hAnsi="Times New Roman" w:cs="Times New Roman"/>
          <w:sz w:val="24"/>
          <w:lang w:val="uk-UA" w:eastAsia="en-US" w:bidi="en-US"/>
        </w:rPr>
        <w:t>29</w:t>
      </w:r>
      <w:r w:rsidR="00591C44">
        <w:rPr>
          <w:rFonts w:ascii="Times New Roman" w:eastAsia="Calibri" w:hAnsi="Times New Roman" w:cs="Times New Roman"/>
          <w:sz w:val="24"/>
          <w:lang w:val="uk-UA" w:eastAsia="en-US" w:bidi="en-US"/>
        </w:rPr>
        <w:t xml:space="preserve"> серпня</w:t>
      </w:r>
      <w:r w:rsidR="00591C44">
        <w:rPr>
          <w:rFonts w:ascii="Times New Roman" w:eastAsia="Calibri" w:hAnsi="Times New Roman" w:cs="Times New Roman"/>
          <w:sz w:val="24"/>
          <w:lang w:eastAsia="en-US" w:bidi="en-US"/>
        </w:rPr>
        <w:t xml:space="preserve"> 2022 року №</w:t>
      </w:r>
      <w:r w:rsidR="006B1CA3">
        <w:rPr>
          <w:rFonts w:ascii="Times New Roman" w:eastAsia="Calibri" w:hAnsi="Times New Roman" w:cs="Times New Roman"/>
          <w:sz w:val="24"/>
          <w:lang w:val="uk-UA" w:eastAsia="en-US" w:bidi="en-US"/>
        </w:rPr>
        <w:t xml:space="preserve"> 140</w:t>
      </w:r>
      <w:bookmarkStart w:id="0" w:name="_GoBack"/>
      <w:bookmarkEnd w:id="0"/>
    </w:p>
    <w:p w:rsidR="007E1BF2" w:rsidRDefault="007E1BF2">
      <w:pPr>
        <w:spacing w:after="0"/>
        <w:ind w:left="5669" w:right="283"/>
        <w:jc w:val="both"/>
        <w:rPr>
          <w:rFonts w:ascii="Times New Roman" w:eastAsia="Calibri" w:hAnsi="Times New Roman" w:cs="Times New Roman"/>
          <w:sz w:val="24"/>
          <w:lang w:eastAsia="en-US" w:bidi="en-US"/>
        </w:rPr>
      </w:pPr>
    </w:p>
    <w:p w:rsidR="007E1BF2" w:rsidRDefault="00591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стан підготовки закладів освіти </w:t>
      </w:r>
    </w:p>
    <w:p w:rsidR="007E1BF2" w:rsidRDefault="00591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нового навчального року</w:t>
      </w:r>
    </w:p>
    <w:p w:rsidR="007E1BF2" w:rsidRDefault="007E1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1BF2" w:rsidRDefault="00591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метою забезпечення повноцінного функціонування закладів освіти, створення належних умов для навчання та виховання дітей, здійснення якісної підготовки  закладів освіт</w:t>
      </w:r>
      <w:r>
        <w:rPr>
          <w:rFonts w:ascii="Times New Roman" w:hAnsi="Times New Roman" w:cs="Times New Roman"/>
          <w:sz w:val="28"/>
          <w:szCs w:val="28"/>
          <w:lang w:val="uk-UA"/>
        </w:rPr>
        <w:t>и до організованого початку 2022-2023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навчального року та до роботи в осінньо-зимовий період відділом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Менської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ради, керівниками закладів освіти проводиться відповідна робота.</w:t>
      </w:r>
    </w:p>
    <w:p w:rsidR="007E1BF2" w:rsidRDefault="00591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Вживаються заходи щодо створення необхідних санітарно-гігієнічних умов для навчання і виховання дітей в закладах дошкільної освіти,  загальної середньої освіти, позашкільної освіти, а також виконання вимог нормативно-технічних документів з охорони праці, техніки безпеки та протипожежної безпеки.</w:t>
      </w:r>
    </w:p>
    <w:p w:rsidR="007E1BF2" w:rsidRDefault="00591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Всі заходи відбуваються в умов оголошеного воєнного стану в Україні, що вносить свої корективи у підготовку закладів освіти.</w:t>
      </w:r>
    </w:p>
    <w:p w:rsidR="007E1BF2" w:rsidRDefault="00591C44">
      <w:pPr>
        <w:pStyle w:val="23"/>
        <w:ind w:firstLine="567"/>
        <w:rPr>
          <w:i w:val="0"/>
        </w:rPr>
      </w:pPr>
      <w:r>
        <w:rPr>
          <w:i w:val="0"/>
        </w:rPr>
        <w:t>Станом на звітну дату в підпорядкуванні відділу освіти Менської міської ради перебуває 35 закладів та установ освіти комунальної форми власності, з них: 15 закладів загальної середньої освіти (в тому числі 10 ЗЗСО І-ІІІ ступенів та 3 філія І-ІІ ступенів,  2 ЗЗСО І-ІІ ступенів), в яких за попередніми даними будуть здобувати освіту 2478 учнів (місто-1607, село-871)</w:t>
      </w:r>
      <w:r>
        <w:t>,</w:t>
      </w:r>
      <w:r>
        <w:rPr>
          <w:i w:val="0"/>
        </w:rPr>
        <w:t xml:space="preserve"> 14 ЗДО та 1 дошкільний структурний підрозділ у складі </w:t>
      </w:r>
      <w:proofErr w:type="spellStart"/>
      <w:r>
        <w:rPr>
          <w:i w:val="0"/>
        </w:rPr>
        <w:t>Волосківської</w:t>
      </w:r>
      <w:proofErr w:type="spellEnd"/>
      <w:r>
        <w:rPr>
          <w:i w:val="0"/>
        </w:rPr>
        <w:t xml:space="preserve"> гімназії (в яких буде виховуватися з 01 вересня 2022 року  551 дитина), 4 заклади позашкільної освіти, </w:t>
      </w:r>
      <w:proofErr w:type="spellStart"/>
      <w:r>
        <w:rPr>
          <w:i w:val="0"/>
        </w:rPr>
        <w:t>Степанівський</w:t>
      </w:r>
      <w:proofErr w:type="spellEnd"/>
      <w:r>
        <w:rPr>
          <w:i w:val="0"/>
        </w:rPr>
        <w:t xml:space="preserve"> МНВК та ІРЦ. </w:t>
      </w:r>
    </w:p>
    <w:p w:rsidR="007E1BF2" w:rsidRDefault="00591C4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Відділом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оптимальної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Осьмаківської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Слобідської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процедура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ЗЗСО І-ІІ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Величківський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ЗЗСО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реорганізовано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Величківську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І-ІІ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Опорного закладу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гімназія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1BF2" w:rsidRDefault="00591C4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Враховуючи 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рішення Чернігівського окружного адміністративного суду</w:t>
      </w:r>
      <w:r>
        <w:rPr>
          <w:rStyle w:val="docdata"/>
          <w:rFonts w:ascii="Times New Roman" w:hAnsi="Times New Roman"/>
          <w:color w:val="000000"/>
          <w:sz w:val="28"/>
          <w:szCs w:val="28"/>
        </w:rPr>
        <w:t> 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від 13 травня</w:t>
      </w:r>
      <w:r>
        <w:rPr>
          <w:rStyle w:val="docdata"/>
          <w:rFonts w:ascii="Times New Roman" w:hAnsi="Times New Roman"/>
          <w:color w:val="000000"/>
          <w:sz w:val="28"/>
          <w:szCs w:val="28"/>
        </w:rPr>
        <w:t> 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2022</w:t>
      </w:r>
      <w:r>
        <w:rPr>
          <w:rStyle w:val="docdata"/>
          <w:rFonts w:ascii="Times New Roman" w:hAnsi="Times New Roman"/>
          <w:color w:val="000000"/>
          <w:sz w:val="28"/>
          <w:szCs w:val="28"/>
        </w:rPr>
        <w:t> 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року у справі № 620/10951/21 за позовом Головного управління Державної служби України з надзвичайних ситуацій у Чернігівській області до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Куковицького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закладу загальної середньої освіти І-ІІІ ступенів Менської міської ради Менського району Чернігівської області про 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зупин</w:t>
      </w:r>
      <w:r>
        <w:rPr>
          <w:rStyle w:val="docdata"/>
          <w:rFonts w:ascii="Times New Roman" w:eastAsia="Batang" w:hAnsi="Times New Roman"/>
          <w:color w:val="000000"/>
          <w:sz w:val="28"/>
          <w:szCs w:val="28"/>
          <w:lang w:val="uk-UA"/>
        </w:rPr>
        <w:t>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експлуатації будівель №1, №2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Куковицького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закладу загальної середньої освіти І-ІІІ ступенів Менської міської ради Менського району Чернігівської області до повного усунення порушень вимог законодавства у сфері техногенної та пожежної безпеки, які створюють загрозу життю та/або здоров’ю людей, з метою створення оптимальної освітньої мережі, необхідних умов для надання учням якісних освітніх послуг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чергову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i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 xml:space="preserve">рипинити через реорганізацію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Куковицький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заклад загальної середньої освіти І-ІІІ ступенів Менської міської ради шляхом приєднання до Опорного закладу Менська гімназія Менської міської ради.</w:t>
      </w:r>
    </w:p>
    <w:p w:rsidR="007E1BF2" w:rsidRDefault="00591C44">
      <w:pPr>
        <w:pStyle w:val="23"/>
        <w:ind w:firstLine="567"/>
        <w:rPr>
          <w:i w:val="0"/>
        </w:rPr>
      </w:pPr>
      <w:r>
        <w:rPr>
          <w:i w:val="0"/>
        </w:rPr>
        <w:t xml:space="preserve">Розпорядженням міського голови створено комісію з перевірки закладів освіти на предмет наявності найпростіших </w:t>
      </w:r>
      <w:proofErr w:type="spellStart"/>
      <w:r>
        <w:rPr>
          <w:i w:val="0"/>
        </w:rPr>
        <w:t>укриттів</w:t>
      </w:r>
      <w:proofErr w:type="spellEnd"/>
      <w:r>
        <w:rPr>
          <w:i w:val="0"/>
        </w:rPr>
        <w:t xml:space="preserve">, які можуть використовуватися закладами освіти, складено Акти оцінки об’єкта (будівлі, споруди, приміщення) щодо можливості його використання для укриття населення як найпростішого </w:t>
      </w:r>
      <w:proofErr w:type="spellStart"/>
      <w:r>
        <w:rPr>
          <w:i w:val="0"/>
        </w:rPr>
        <w:t>укритття</w:t>
      </w:r>
      <w:proofErr w:type="spellEnd"/>
      <w:r>
        <w:rPr>
          <w:i w:val="0"/>
        </w:rPr>
        <w:t xml:space="preserve">), які подані на </w:t>
      </w:r>
      <w:proofErr w:type="spellStart"/>
      <w:r>
        <w:rPr>
          <w:i w:val="0"/>
        </w:rPr>
        <w:t>погодженння</w:t>
      </w:r>
      <w:proofErr w:type="spellEnd"/>
      <w:r>
        <w:rPr>
          <w:i w:val="0"/>
        </w:rPr>
        <w:t xml:space="preserve"> до голови </w:t>
      </w:r>
      <w:proofErr w:type="spellStart"/>
      <w:r>
        <w:rPr>
          <w:i w:val="0"/>
        </w:rPr>
        <w:t>Корюківської</w:t>
      </w:r>
      <w:proofErr w:type="spellEnd"/>
      <w:r>
        <w:rPr>
          <w:i w:val="0"/>
        </w:rPr>
        <w:t xml:space="preserve"> РВА.</w:t>
      </w:r>
    </w:p>
    <w:p w:rsidR="007E1BF2" w:rsidRDefault="00591C44">
      <w:pPr>
        <w:pStyle w:val="23"/>
        <w:ind w:firstLine="567"/>
        <w:rPr>
          <w:i w:val="0"/>
        </w:rPr>
      </w:pPr>
      <w:r>
        <w:rPr>
          <w:i w:val="0"/>
        </w:rPr>
        <w:t xml:space="preserve">Наразі відсутні найпростіші укриття в наступних закладах освіти: </w:t>
      </w:r>
      <w:proofErr w:type="spellStart"/>
      <w:r>
        <w:rPr>
          <w:i w:val="0"/>
        </w:rPr>
        <w:t>Синявський</w:t>
      </w:r>
      <w:proofErr w:type="spellEnd"/>
      <w:r>
        <w:rPr>
          <w:i w:val="0"/>
        </w:rPr>
        <w:t xml:space="preserve"> ЗЗСО І-ІІІ ступенів, </w:t>
      </w:r>
      <w:proofErr w:type="spellStart"/>
      <w:r>
        <w:rPr>
          <w:i w:val="0"/>
        </w:rPr>
        <w:t>Синявський</w:t>
      </w:r>
      <w:proofErr w:type="spellEnd"/>
      <w:r>
        <w:rPr>
          <w:i w:val="0"/>
        </w:rPr>
        <w:t xml:space="preserve"> ЗДО «Дзвіночок», </w:t>
      </w:r>
      <w:proofErr w:type="spellStart"/>
      <w:r>
        <w:rPr>
          <w:i w:val="0"/>
        </w:rPr>
        <w:t>Макошинський</w:t>
      </w:r>
      <w:proofErr w:type="spellEnd"/>
      <w:r>
        <w:rPr>
          <w:i w:val="0"/>
        </w:rPr>
        <w:t xml:space="preserve"> ЗЗСО І-ІІІ ступенів, </w:t>
      </w:r>
      <w:proofErr w:type="spellStart"/>
      <w:r>
        <w:rPr>
          <w:i w:val="0"/>
        </w:rPr>
        <w:t>Дягівський</w:t>
      </w:r>
      <w:proofErr w:type="spellEnd"/>
      <w:r>
        <w:rPr>
          <w:i w:val="0"/>
        </w:rPr>
        <w:t xml:space="preserve"> ЗЗСО І-ІІІ ступенів, </w:t>
      </w:r>
      <w:proofErr w:type="spellStart"/>
      <w:r>
        <w:rPr>
          <w:i w:val="0"/>
        </w:rPr>
        <w:t>Куковицький</w:t>
      </w:r>
      <w:proofErr w:type="spellEnd"/>
      <w:r>
        <w:rPr>
          <w:i w:val="0"/>
        </w:rPr>
        <w:t xml:space="preserve"> ЗЗСО І-ІІІ ступенів для дітей 5 -11 класів.</w:t>
      </w:r>
    </w:p>
    <w:p w:rsidR="007E1BF2" w:rsidRDefault="00591C44">
      <w:pPr>
        <w:pStyle w:val="23"/>
        <w:ind w:firstLine="567"/>
        <w:rPr>
          <w:i w:val="0"/>
        </w:rPr>
      </w:pPr>
      <w:r>
        <w:rPr>
          <w:i w:val="0"/>
        </w:rPr>
        <w:t xml:space="preserve">Завершуються роботи щодо облаштування найпростіших </w:t>
      </w:r>
      <w:proofErr w:type="spellStart"/>
      <w:r>
        <w:rPr>
          <w:i w:val="0"/>
        </w:rPr>
        <w:t>укриттів</w:t>
      </w:r>
      <w:proofErr w:type="spellEnd"/>
      <w:r>
        <w:rPr>
          <w:i w:val="0"/>
        </w:rPr>
        <w:t xml:space="preserve"> всім необхідним згідно Рекомендацій, враховуючи фінансові можливості закладів освіти. Є проблемні питання щодо проведення </w:t>
      </w:r>
      <w:proofErr w:type="spellStart"/>
      <w:r>
        <w:rPr>
          <w:i w:val="0"/>
        </w:rPr>
        <w:t>проплат</w:t>
      </w:r>
      <w:proofErr w:type="spellEnd"/>
      <w:r>
        <w:rPr>
          <w:i w:val="0"/>
        </w:rPr>
        <w:t xml:space="preserve">, які пов’язані з придбанням предметів для найпростіших </w:t>
      </w:r>
      <w:proofErr w:type="spellStart"/>
      <w:r>
        <w:rPr>
          <w:i w:val="0"/>
        </w:rPr>
        <w:t>укриттів</w:t>
      </w:r>
      <w:proofErr w:type="spellEnd"/>
      <w:r>
        <w:rPr>
          <w:i w:val="0"/>
        </w:rPr>
        <w:t xml:space="preserve">. </w:t>
      </w:r>
    </w:p>
    <w:p w:rsidR="007E1BF2" w:rsidRDefault="00591C44">
      <w:pPr>
        <w:pStyle w:val="23"/>
        <w:ind w:firstLine="567"/>
        <w:rPr>
          <w:i w:val="0"/>
        </w:rPr>
      </w:pPr>
      <w:r>
        <w:rPr>
          <w:i w:val="0"/>
        </w:rPr>
        <w:t xml:space="preserve"> За сприяння гуманітарного штабу при Менській міській раді найпростіші укриття забезпечені найпростішими продуктовими наборами з розрахунку на кожну особу; частково: питною </w:t>
      </w:r>
      <w:proofErr w:type="spellStart"/>
      <w:r>
        <w:rPr>
          <w:i w:val="0"/>
        </w:rPr>
        <w:t>бутильованою</w:t>
      </w:r>
      <w:proofErr w:type="spellEnd"/>
      <w:r>
        <w:rPr>
          <w:i w:val="0"/>
        </w:rPr>
        <w:t xml:space="preserve"> водою, ліхтарями (як альтернативним живленням), теплими ковдрами.</w:t>
      </w:r>
    </w:p>
    <w:p w:rsidR="007E1BF2" w:rsidRDefault="00591C44">
      <w:pPr>
        <w:pStyle w:val="23"/>
        <w:ind w:firstLine="567"/>
        <w:rPr>
          <w:i w:val="0"/>
        </w:rPr>
      </w:pPr>
      <w:r>
        <w:rPr>
          <w:i w:val="0"/>
        </w:rPr>
        <w:t xml:space="preserve">Відділом освіти подано заявки на участь в грантових програмах на придбання: </w:t>
      </w:r>
      <w:proofErr w:type="spellStart"/>
      <w:r>
        <w:rPr>
          <w:i w:val="0"/>
        </w:rPr>
        <w:t>ємностей</w:t>
      </w:r>
      <w:proofErr w:type="spellEnd"/>
      <w:r>
        <w:rPr>
          <w:i w:val="0"/>
        </w:rPr>
        <w:t xml:space="preserve"> для питної води, баків для сміття, </w:t>
      </w:r>
      <w:proofErr w:type="spellStart"/>
      <w:r>
        <w:rPr>
          <w:i w:val="0"/>
        </w:rPr>
        <w:t>ємностей</w:t>
      </w:r>
      <w:proofErr w:type="spellEnd"/>
      <w:r>
        <w:rPr>
          <w:i w:val="0"/>
        </w:rPr>
        <w:t xml:space="preserve"> для зберігання продуктів харчування, </w:t>
      </w:r>
      <w:proofErr w:type="spellStart"/>
      <w:r>
        <w:rPr>
          <w:i w:val="0"/>
        </w:rPr>
        <w:t>бензогенераторів</w:t>
      </w:r>
      <w:proofErr w:type="spellEnd"/>
      <w:r>
        <w:rPr>
          <w:i w:val="0"/>
        </w:rPr>
        <w:t xml:space="preserve">, </w:t>
      </w:r>
      <w:proofErr w:type="spellStart"/>
      <w:r>
        <w:rPr>
          <w:i w:val="0"/>
        </w:rPr>
        <w:t>біотуалетів</w:t>
      </w:r>
      <w:proofErr w:type="spellEnd"/>
      <w:r>
        <w:rPr>
          <w:i w:val="0"/>
        </w:rPr>
        <w:t xml:space="preserve">, одноразових стаканчиків для питної води, </w:t>
      </w:r>
      <w:proofErr w:type="spellStart"/>
      <w:r>
        <w:rPr>
          <w:i w:val="0"/>
        </w:rPr>
        <w:t>памперсів</w:t>
      </w:r>
      <w:proofErr w:type="spellEnd"/>
      <w:r>
        <w:rPr>
          <w:i w:val="0"/>
        </w:rPr>
        <w:t xml:space="preserve"> для найменших вихованців.</w:t>
      </w:r>
    </w:p>
    <w:p w:rsidR="007E1BF2" w:rsidRDefault="00591C44">
      <w:pPr>
        <w:pStyle w:val="23"/>
        <w:ind w:firstLine="567"/>
        <w:rPr>
          <w:i w:val="0"/>
        </w:rPr>
      </w:pPr>
      <w:r>
        <w:rPr>
          <w:i w:val="0"/>
        </w:rPr>
        <w:t>Організація освітнього процесу залежить від безпекової ситуації в кожному населеному пункті. Структура і тривалість навчального тижня, навчального дня, занять, відпочинку між ними, форми організації освітнього процесу визначається педагогічною радою закладу освіти в межах часу, передбаченого освітньою програмою, відповідно до обсягу навчального навантаження, встановленого навчальним планом, та з урахуванням вікових особливостей, фізичного, психічного та інтелектуального розвитку здобувачів освіти, особливостей регіону тощо.</w:t>
      </w:r>
    </w:p>
    <w:p w:rsidR="007E1BF2" w:rsidRDefault="00591C44">
      <w:pPr>
        <w:pStyle w:val="23"/>
        <w:ind w:firstLine="567"/>
        <w:rPr>
          <w:i w:val="0"/>
        </w:rPr>
      </w:pPr>
      <w:r>
        <w:rPr>
          <w:i w:val="0"/>
        </w:rPr>
        <w:t>До початку навчального року заклади освіти на педагогічних радах, враховуючи безпекову ситуацію, результати опитування батьків приймають рішення за якою з формою організації освітнього процесу буде здійснюватися навчання з 01 вересня 2022 року (це може бути  очний режим, дистанційний режим та за змішаною формою, що поєднує очний і дистанційний режими). При цьому освітній процес у початковій школі бажано проводити в очному режимі (згідно рекомендацій МОНУ, враховуючи необхідність соціалізації дітей).</w:t>
      </w:r>
    </w:p>
    <w:p w:rsidR="007E1BF2" w:rsidRDefault="00591C44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Розпорядженням міського голови створено комісію з обстеження закладів освіти на предмет готовності до організації навчання та забезпечення безпеки учасників освітнього процесу у 2022/2023 навчальному році. Результатом роботи комісії є підготовка відповідного акту.</w:t>
      </w:r>
    </w:p>
    <w:p w:rsidR="007E1BF2" w:rsidRDefault="00591C44">
      <w:pPr>
        <w:spacing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цьому році не маємо можливості вкладати бюджетні кошти в ремонт закладів освіти, проте якщо є допомога від батьків чи спонсорів чи небайдужих до освітянських проблем осіб, то радо це сприймаємо. </w:t>
      </w:r>
    </w:p>
    <w:p w:rsidR="007E1BF2" w:rsidRDefault="00591C44">
      <w:pPr>
        <w:spacing w:line="240" w:lineRule="auto"/>
        <w:ind w:left="-142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Готуємо заклади освіти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-зимовий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Проводиться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закупівля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укладені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дровами становить 60%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проблема щодо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проплати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завезені дрова (станом на 12.08.2022 - 94 тис. грн.). </w:t>
      </w:r>
      <w:r>
        <w:rPr>
          <w:rFonts w:ascii="Times New Roman" w:hAnsi="Times New Roman" w:cs="Times New Roman"/>
          <w:sz w:val="28"/>
          <w:szCs w:val="28"/>
        </w:rPr>
        <w:t>Завезено торфобрикету 33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т,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375 </w:t>
      </w:r>
      <w:proofErr w:type="gramStart"/>
      <w:r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8,8%) Завезено вугілля 127 тон (100%) від потреби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проплата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проведена на суму 170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E1BF2" w:rsidRDefault="00591C44">
      <w:pPr>
        <w:spacing w:line="240" w:lineRule="auto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манометри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сигналізатори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перезарядка вогнегасників.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1BF2" w:rsidRDefault="00591C44">
      <w:pPr>
        <w:spacing w:line="240" w:lineRule="auto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безперебійної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-зимовий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ремонту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E1BF2" w:rsidRDefault="00591C44">
      <w:pPr>
        <w:numPr>
          <w:ilvl w:val="0"/>
          <w:numId w:val="6"/>
        </w:numPr>
        <w:spacing w:after="0" w:line="240" w:lineRule="auto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Блистівський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ЗЗСО І-ІІІ ст. – </w:t>
      </w:r>
      <w:r>
        <w:rPr>
          <w:rFonts w:ascii="Times New Roman" w:hAnsi="Times New Roman" w:cs="Times New Roman"/>
          <w:sz w:val="28"/>
          <w:szCs w:val="28"/>
          <w:lang w:val="uk-UA"/>
        </w:rPr>
        <w:t>необхідно провести роботи з</w:t>
      </w:r>
      <w:r>
        <w:rPr>
          <w:rFonts w:ascii="Times New Roman" w:hAnsi="Times New Roman" w:cs="Times New Roman"/>
          <w:sz w:val="28"/>
          <w:szCs w:val="28"/>
        </w:rPr>
        <w:t xml:space="preserve"> ремонту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водогону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підвідний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водопровід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(труба завезена, найближчим часом роботи будуть проведені)</w:t>
      </w:r>
      <w:r>
        <w:rPr>
          <w:rFonts w:ascii="Times New Roman" w:hAnsi="Times New Roman" w:cs="Times New Roman"/>
          <w:sz w:val="28"/>
          <w:szCs w:val="28"/>
        </w:rPr>
        <w:t>, ремонт котла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колесників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E1BF2" w:rsidRDefault="00591C44">
      <w:pPr>
        <w:numPr>
          <w:ilvl w:val="0"/>
          <w:numId w:val="6"/>
        </w:numPr>
        <w:spacing w:after="0" w:line="240" w:lineRule="auto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ЦДЮТ-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/ремонт газового котла,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насосу на систему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E1BF2" w:rsidRDefault="00591C44">
      <w:pPr>
        <w:numPr>
          <w:ilvl w:val="0"/>
          <w:numId w:val="6"/>
        </w:numPr>
        <w:spacing w:after="0" w:line="240" w:lineRule="auto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Степанівський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МНВК-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теплотраси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(ремонт вводу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котельню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E1BF2" w:rsidRDefault="00591C44">
      <w:pPr>
        <w:numPr>
          <w:ilvl w:val="0"/>
          <w:numId w:val="6"/>
        </w:numPr>
        <w:spacing w:after="0" w:line="240" w:lineRule="auto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Дягівський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 «Веселка» - ремонт котла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(роботи проведено, вартість робіт орієнтовно 28 тис. грн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проплата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проведена).</w:t>
      </w:r>
    </w:p>
    <w:p w:rsidR="007E1BF2" w:rsidRDefault="00591C44">
      <w:pPr>
        <w:spacing w:line="240" w:lineRule="auto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12.08.2022 року завершено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ремонту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теплотраси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(ремонт вводу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МНВК,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Дягівський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ЗДО- ремонт котла.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ремонту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Блистівському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ЗЗСО І-ІІІ ст.</w:t>
      </w:r>
    </w:p>
    <w:p w:rsidR="007E1BF2" w:rsidRDefault="00591C44">
      <w:pPr>
        <w:spacing w:line="240" w:lineRule="auto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 червня 2022 року № 193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укриттів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приведенню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найпростіших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укриттів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надзвичайної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14.06.2022 № 03-1870/162-2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закладах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1BF2" w:rsidRDefault="007E1BF2">
      <w:pPr>
        <w:pStyle w:val="23"/>
        <w:ind w:firstLine="0"/>
        <w:rPr>
          <w:i w:val="0"/>
        </w:rPr>
      </w:pPr>
    </w:p>
    <w:p w:rsidR="007E1BF2" w:rsidRDefault="00591C44">
      <w:pPr>
        <w:pStyle w:val="23"/>
        <w:ind w:firstLine="0"/>
        <w:rPr>
          <w:i w:val="0"/>
        </w:rPr>
      </w:pPr>
      <w:r>
        <w:rPr>
          <w:i w:val="0"/>
        </w:rPr>
        <w:t>Начальник Відділу освіти</w:t>
      </w:r>
      <w:r>
        <w:rPr>
          <w:i w:val="0"/>
        </w:rPr>
        <w:tab/>
      </w:r>
      <w:r>
        <w:rPr>
          <w:i w:val="0"/>
        </w:rPr>
        <w:tab/>
        <w:t xml:space="preserve">                       </w:t>
      </w:r>
      <w:r>
        <w:rPr>
          <w:i w:val="0"/>
        </w:rPr>
        <w:tab/>
        <w:t>Ірина ЛУК’ЯНЕНКО</w:t>
      </w:r>
    </w:p>
    <w:p w:rsidR="007E1BF2" w:rsidRDefault="007E1BF2">
      <w:pPr>
        <w:pStyle w:val="23"/>
        <w:ind w:firstLine="0"/>
        <w:rPr>
          <w:i w:val="0"/>
        </w:rPr>
      </w:pPr>
    </w:p>
    <w:sectPr w:rsidR="007E1BF2">
      <w:head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6EF" w:rsidRDefault="006816EF">
      <w:pPr>
        <w:spacing w:after="0" w:line="240" w:lineRule="auto"/>
      </w:pPr>
      <w:r>
        <w:separator/>
      </w:r>
    </w:p>
  </w:endnote>
  <w:endnote w:type="continuationSeparator" w:id="0">
    <w:p w:rsidR="006816EF" w:rsidRDefault="0068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Batang">
    <w:altName w:val="바탕"/>
    <w:panose1 w:val="02030600000101010101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BF2" w:rsidRDefault="007E1BF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6EF" w:rsidRDefault="006816EF">
      <w:pPr>
        <w:spacing w:after="0" w:line="240" w:lineRule="auto"/>
      </w:pPr>
      <w:r>
        <w:separator/>
      </w:r>
    </w:p>
  </w:footnote>
  <w:footnote w:type="continuationSeparator" w:id="0">
    <w:p w:rsidR="006816EF" w:rsidRDefault="00681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BF2" w:rsidRDefault="00591C44">
    <w:pPr>
      <w:pStyle w:val="ab"/>
      <w:jc w:val="center"/>
      <w:rPr>
        <w:rFonts w:ascii="Times New Roman" w:eastAsia="Times New Roman" w:hAnsi="Times New Roman" w:cs="Times New Roman"/>
      </w:rPr>
    </w:pPr>
    <w:r>
      <w:t xml:space="preserve">                                                                                </w:t>
    </w: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  <w:r>
      <w:t xml:space="preserve">                                    </w:t>
    </w:r>
    <w:r>
      <w:rPr>
        <w:rFonts w:ascii="Times New Roman" w:eastAsia="Times New Roman" w:hAnsi="Times New Roman" w:cs="Times New Roman"/>
      </w:rPr>
      <w:t xml:space="preserve">   </w:t>
    </w:r>
    <w:proofErr w:type="spellStart"/>
    <w:r>
      <w:rPr>
        <w:rFonts w:ascii="Times New Roman" w:eastAsia="Times New Roman" w:hAnsi="Times New Roman" w:cs="Times New Roman"/>
      </w:rPr>
      <w:t>продовження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додатка</w:t>
    </w:r>
    <w:proofErr w:type="spellEnd"/>
  </w:p>
  <w:p w:rsidR="007E1BF2" w:rsidRDefault="007E1BF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BF2" w:rsidRDefault="007E1BF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755"/>
    <w:multiLevelType w:val="multilevel"/>
    <w:tmpl w:val="81B207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22E4745"/>
    <w:multiLevelType w:val="hybridMultilevel"/>
    <w:tmpl w:val="BD8A121A"/>
    <w:lvl w:ilvl="0" w:tplc="CCFC7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6E1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E65A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046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619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68B8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3895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8EA1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C418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E552B"/>
    <w:multiLevelType w:val="hybridMultilevel"/>
    <w:tmpl w:val="1384FAAC"/>
    <w:lvl w:ilvl="0" w:tplc="48F6643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4810EF2E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76E2293C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554845C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6FA6F26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621E8A78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AA587F50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3BCF3C6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8C8C717C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2A1793D"/>
    <w:multiLevelType w:val="hybridMultilevel"/>
    <w:tmpl w:val="CF9AF794"/>
    <w:lvl w:ilvl="0" w:tplc="A606BBB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D2D24320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B62E7D0A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C8AA3EE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5E788D06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8780D652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C28AD0B8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B7EAFAF4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FC2D70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9143928"/>
    <w:multiLevelType w:val="hybridMultilevel"/>
    <w:tmpl w:val="CFB04706"/>
    <w:lvl w:ilvl="0" w:tplc="0EF2C5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9C0C0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FE2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47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A82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8C0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C0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06F9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7272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E575E"/>
    <w:multiLevelType w:val="hybridMultilevel"/>
    <w:tmpl w:val="E74033E4"/>
    <w:lvl w:ilvl="0" w:tplc="16F625DE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E8C3E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A60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E6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ACB8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883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5A9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A1D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BE7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BF2"/>
    <w:rsid w:val="00591C44"/>
    <w:rsid w:val="006816EF"/>
    <w:rsid w:val="006B1CA3"/>
    <w:rsid w:val="007E1BF2"/>
    <w:rsid w:val="00C73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B31E"/>
  <w15:docId w15:val="{1EE8B7C9-1C1D-4E75-B48E-59BC1656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і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ви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інцевої ви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24">
    <w:name w:val="Основний текст з відступом 2 Знак"/>
    <w:basedOn w:val="a0"/>
    <w:link w:val="23"/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afc">
    <w:name w:val="No Spacing"/>
    <w:qFormat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docdata">
    <w:name w:val="docdata"/>
    <w:basedOn w:val="a0"/>
  </w:style>
  <w:style w:type="paragraph" w:customStyle="1" w:styleId="2368">
    <w:name w:val="236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6">
    <w:name w:val="236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</w:style>
  <w:style w:type="paragraph" w:styleId="afd">
    <w:name w:val="Body Text"/>
    <w:basedOn w:val="a"/>
    <w:link w:val="afe"/>
    <w:uiPriority w:val="99"/>
    <w:semiHidden/>
    <w:unhideWhenUsed/>
    <w:pPr>
      <w:spacing w:after="120"/>
    </w:pPr>
  </w:style>
  <w:style w:type="character" w:customStyle="1" w:styleId="afe">
    <w:name w:val="Основний текст Знак"/>
    <w:basedOn w:val="a0"/>
    <w:link w:val="afd"/>
    <w:uiPriority w:val="99"/>
    <w:semiHidden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у виносці Знак"/>
    <w:basedOn w:val="a0"/>
    <w:link w:val="aff"/>
    <w:uiPriority w:val="99"/>
    <w:semiHidden/>
    <w:rPr>
      <w:rFonts w:ascii="Tahoma" w:hAnsi="Tahoma" w:cs="Tahoma"/>
      <w:sz w:val="16"/>
      <w:szCs w:val="16"/>
    </w:rPr>
  </w:style>
  <w:style w:type="paragraph" w:customStyle="1" w:styleId="13358">
    <w:name w:val="1335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347941C-CB3B-4AE6-B579-26B19088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5054</Words>
  <Characters>2881</Characters>
  <Application>Microsoft Office Word</Application>
  <DocSecurity>0</DocSecurity>
  <Lines>24</Lines>
  <Paragraphs>15</Paragraphs>
  <ScaleCrop>false</ScaleCrop>
  <Company>Інститут Модернізації та Змісту освіти</Company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Usher</cp:lastModifiedBy>
  <cp:revision>35</cp:revision>
  <dcterms:created xsi:type="dcterms:W3CDTF">2022-07-18T11:53:00Z</dcterms:created>
  <dcterms:modified xsi:type="dcterms:W3CDTF">2022-08-30T15:57:00Z</dcterms:modified>
</cp:coreProperties>
</file>