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ind w:firstLine="567"/>
        <w:jc w:val="center"/>
        <w:spacing w:before="0"/>
        <w:tabs>
          <w:tab w:val="clear" w:pos="0" w:leader="none"/>
          <w:tab w:val="left" w:pos="567" w:leader="none"/>
          <w:tab w:val="num" w:pos="851" w:leader="none"/>
        </w:tabs>
        <w:rPr>
          <w:b/>
          <w:sz w:val="28"/>
          <w:szCs w:val="28"/>
          <w:u w:val="none"/>
        </w:rPr>
        <w:outlineLvl w:val="0"/>
      </w:pPr>
      <w:r>
        <w:rPr>
          <w:b/>
          <w:sz w:val="28"/>
          <w:szCs w:val="28"/>
          <w:u w:val="none"/>
        </w:rPr>
        <w:t xml:space="preserve">Пояснювальна записка</w:t>
      </w:r>
      <w:r/>
    </w:p>
    <w:p>
      <w:pPr>
        <w:ind w:firstLine="567"/>
        <w:jc w:val="center"/>
        <w:shd w:val="clear" w:fill="FFFFFF" w:color="auto"/>
        <w:tabs>
          <w:tab w:val="left" w:pos="567" w:leader="none"/>
          <w:tab w:val="num" w:pos="851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Менської міської ради 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скликання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260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серп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«Про внесення змін до 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899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рік» від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грудня 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року»</w:t>
      </w:r>
      <w:r/>
    </w:p>
    <w:p>
      <w:pPr>
        <w:keepNext/>
        <w:tabs>
          <w:tab w:val="left" w:pos="567" w:leader="none"/>
          <w:tab w:val="num" w:pos="851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положень Бюджетного кодексу України, ст. 26 Закону України «Про місцеве самоврядування в Україні», рішення №</w:t>
      </w:r>
      <w:r>
        <w:rPr>
          <w:rFonts w:ascii="Times New Roman" w:hAnsi="Times New Roman"/>
          <w:sz w:val="28"/>
          <w:szCs w:val="28"/>
          <w:lang w:val="uk-UA"/>
        </w:rPr>
        <w:t xml:space="preserve"> 899</w:t>
      </w:r>
      <w:r>
        <w:rPr>
          <w:rFonts w:ascii="Times New Roman" w:hAnsi="Times New Roman"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рік» від 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.12.202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Уточнити залишок загального фонду, що склався станом на 01.01.2022 року ( код доходів 41051100, залишок освітньої субвенції) відділу освіти Менської міської ради по наданню загальної середньої освіти закладами загальної середньої освіти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1147600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</w:t>
      </w:r>
      <w:r>
        <w:rPr>
          <w:rFonts w:ascii="Times New Roman" w:hAnsi="Times New Roman"/>
          <w:sz w:val="28"/>
          <w:szCs w:val="28"/>
          <w:lang w:val="uk-UA"/>
        </w:rPr>
        <w:t xml:space="preserve">кошти направити на </w:t>
      </w:r>
      <w:r>
        <w:rPr>
          <w:rFonts w:ascii="Times New Roman" w:hAnsi="Times New Roman"/>
          <w:sz w:val="28"/>
          <w:szCs w:val="28"/>
          <w:lang w:val="uk-UA"/>
        </w:rPr>
        <w:t xml:space="preserve">збільш</w:t>
      </w:r>
      <w:r>
        <w:rPr>
          <w:rFonts w:ascii="Times New Roman" w:hAnsi="Times New Roman"/>
          <w:sz w:val="28"/>
          <w:szCs w:val="28"/>
          <w:lang w:val="uk-UA"/>
        </w:rPr>
        <w:t xml:space="preserve">ення</w:t>
      </w:r>
      <w:r>
        <w:rPr>
          <w:rFonts w:ascii="Times New Roman" w:hAnsi="Times New Roman"/>
          <w:sz w:val="28"/>
          <w:szCs w:val="28"/>
          <w:lang w:val="uk-UA"/>
        </w:rPr>
        <w:t xml:space="preserve"> кошторисн</w:t>
      </w:r>
      <w:r>
        <w:rPr>
          <w:rFonts w:ascii="Times New Roman" w:hAnsi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/>
          <w:sz w:val="28"/>
          <w:szCs w:val="28"/>
          <w:lang w:val="uk-UA"/>
        </w:rPr>
        <w:t xml:space="preserve"> призначен</w:t>
      </w:r>
      <w:r>
        <w:rPr>
          <w:rFonts w:ascii="Times New Roman" w:hAnsi="Times New Roman"/>
          <w:sz w:val="28"/>
          <w:szCs w:val="28"/>
          <w:lang w:val="uk-UA"/>
        </w:rPr>
        <w:t xml:space="preserve">ь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загального фонду в частині видатків на заробітну плату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925361</w:t>
      </w:r>
      <w:r>
        <w:rPr>
          <w:rFonts w:ascii="Times New Roman" w:hAnsi="Times New Roman"/>
          <w:sz w:val="28"/>
          <w:szCs w:val="28"/>
          <w:lang w:val="uk-UA"/>
        </w:rPr>
        <w:t xml:space="preserve">,00 грн та нарахування на оплату праці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222239</w:t>
      </w:r>
      <w:r>
        <w:rPr>
          <w:rFonts w:ascii="Times New Roman" w:hAnsi="Times New Roman"/>
          <w:sz w:val="28"/>
          <w:szCs w:val="28"/>
          <w:lang w:val="uk-UA"/>
        </w:rPr>
        <w:t xml:space="preserve">,00 грн. 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0611061 КЕКВ 2110+</w:t>
      </w:r>
      <w:r>
        <w:rPr>
          <w:rFonts w:ascii="Times New Roman" w:hAnsi="Times New Roman"/>
          <w:sz w:val="28"/>
          <w:szCs w:val="28"/>
          <w:lang w:val="uk-UA"/>
        </w:rPr>
        <w:t xml:space="preserve">925361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КЕКВ 2120+</w:t>
      </w:r>
      <w:r>
        <w:rPr>
          <w:rFonts w:ascii="Times New Roman" w:hAnsi="Times New Roman"/>
          <w:sz w:val="28"/>
          <w:szCs w:val="28"/>
          <w:lang w:val="uk-UA"/>
        </w:rPr>
        <w:t xml:space="preserve">222239</w:t>
      </w:r>
      <w:r>
        <w:rPr>
          <w:rFonts w:ascii="Times New Roman" w:hAnsi="Times New Roman"/>
          <w:sz w:val="28"/>
          <w:szCs w:val="28"/>
          <w:lang w:val="uk-UA"/>
        </w:rPr>
        <w:t xml:space="preserve">,00 грн.)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25010100) відділу освіти Менської міської ради по забезпеченню діяльності інших закладів у сфері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101775,79</w:t>
      </w:r>
      <w:r>
        <w:rPr>
          <w:rFonts w:ascii="Times New Roman" w:hAnsi="Times New Roman"/>
          <w:sz w:val="28"/>
          <w:szCs w:val="28"/>
          <w:lang w:val="uk-UA"/>
        </w:rPr>
        <w:t xml:space="preserve"> грн., збільшити кошторисні призначення спеціального фонду в частині видатків на придбання предметів та матеріалів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101775,79</w:t>
      </w:r>
      <w:r>
        <w:rPr>
          <w:rFonts w:ascii="Times New Roman" w:hAnsi="Times New Roman"/>
          <w:sz w:val="28"/>
          <w:szCs w:val="28"/>
          <w:lang w:val="uk-UA"/>
        </w:rPr>
        <w:t xml:space="preserve"> грн.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МНВК).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1141</w:t>
      </w:r>
      <w:r>
        <w:rPr>
          <w:rFonts w:ascii="Times New Roman" w:hAnsi="Times New Roman"/>
          <w:sz w:val="28"/>
          <w:szCs w:val="28"/>
          <w:lang w:val="uk-UA"/>
        </w:rPr>
        <w:t xml:space="preserve"> КЕКВ 2210+</w:t>
      </w:r>
      <w:r>
        <w:rPr>
          <w:rFonts w:ascii="Times New Roman" w:hAnsi="Times New Roman"/>
          <w:sz w:val="28"/>
          <w:szCs w:val="28"/>
          <w:lang w:val="uk-UA"/>
        </w:rPr>
        <w:t xml:space="preserve">101775,79</w:t>
      </w:r>
      <w:r>
        <w:rPr>
          <w:rFonts w:ascii="Times New Roman" w:hAnsi="Times New Roman"/>
          <w:sz w:val="28"/>
          <w:szCs w:val="28"/>
          <w:lang w:val="uk-UA"/>
        </w:rPr>
        <w:t xml:space="preserve"> грн.)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загального фонду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по наданню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саме: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</w:t>
      </w:r>
      <w:r>
        <w:rPr>
          <w:rFonts w:ascii="Times New Roman" w:hAnsi="Times New Roman"/>
          <w:sz w:val="28"/>
          <w:szCs w:val="28"/>
          <w:lang w:val="uk-UA"/>
        </w:rPr>
        <w:t xml:space="preserve">кошторисні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 частині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видатків на придбання предметів та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12000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видатків на відрядження на суму 820,00 грн.</w:t>
      </w:r>
      <w:r/>
    </w:p>
    <w:p>
      <w:pPr>
        <w:ind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збільшити </w:t>
      </w:r>
      <w:r>
        <w:rPr>
          <w:rFonts w:ascii="Times New Roman" w:hAnsi="Times New Roman"/>
          <w:sz w:val="28"/>
          <w:szCs w:val="28"/>
          <w:lang w:val="uk-UA"/>
        </w:rPr>
        <w:t xml:space="preserve">кошторисні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 частині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видатків на нарахування на заробітну плату на суму 12820,00 грн. 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0611010 КЕКВ 2210 -12000,0 грн., КЕКВ 2250-820,00 грн., КЕКВ 2120+12820,00 грн.);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25020200) відділу культури Менської міської ради по забезпеченню діяльності палаців i будинків культури, клубів, центрів дозвілля та </w:t>
      </w:r>
      <w:r>
        <w:rPr>
          <w:rFonts w:ascii="Times New Roman" w:hAnsi="Times New Roman"/>
          <w:sz w:val="28"/>
          <w:szCs w:val="28"/>
          <w:lang w:val="uk-UA"/>
        </w:rPr>
        <w:t xml:space="preserve">iнших</w:t>
      </w:r>
      <w:r>
        <w:rPr>
          <w:rFonts w:ascii="Times New Roman" w:hAnsi="Times New Roman"/>
          <w:sz w:val="28"/>
          <w:szCs w:val="28"/>
          <w:lang w:val="uk-UA"/>
        </w:rPr>
        <w:t xml:space="preserve"> клубних закладів в сумі 4020,89 грн., збільшити кошторисні призначення спеціального фонду в частині видатків на придбання предметів та матеріалів в сумі 4020,89 грн. (оприбуткування будівельних матеріалів).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</w:t>
      </w:r>
      <w:r>
        <w:rPr>
          <w:rFonts w:ascii="Times New Roman" w:hAnsi="Times New Roman"/>
          <w:sz w:val="28"/>
          <w:szCs w:val="28"/>
          <w:lang w:val="uk-UA"/>
        </w:rPr>
        <w:t xml:space="preserve">1014060</w:t>
      </w:r>
      <w:r>
        <w:rPr>
          <w:rFonts w:ascii="Times New Roman" w:hAnsi="Times New Roman"/>
          <w:sz w:val="28"/>
          <w:szCs w:val="28"/>
          <w:lang w:val="uk-UA"/>
        </w:rPr>
        <w:t xml:space="preserve"> КЕКВ 2210+</w:t>
      </w:r>
      <w:r>
        <w:rPr>
          <w:rFonts w:ascii="Times New Roman" w:hAnsi="Times New Roman"/>
          <w:sz w:val="28"/>
          <w:szCs w:val="28"/>
          <w:lang w:val="uk-UA"/>
        </w:rPr>
        <w:t xml:space="preserve">4020,89</w:t>
      </w:r>
      <w:r>
        <w:rPr>
          <w:rFonts w:ascii="Times New Roman" w:hAnsi="Times New Roman"/>
          <w:sz w:val="28"/>
          <w:szCs w:val="28"/>
          <w:lang w:val="uk-UA"/>
        </w:rPr>
        <w:t xml:space="preserve"> грн.)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загального фонду Менської міської ради, а саме: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по іншій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у сфері державного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в частині фінансування «Програми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депутатської діяльності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0000,00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 на інші поточні видатки;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0180</w:t>
      </w:r>
      <w:r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 xml:space="preserve">80</w:t>
      </w:r>
      <w:r>
        <w:rPr>
          <w:rFonts w:ascii="Times New Roman" w:hAnsi="Times New Roman"/>
          <w:sz w:val="28"/>
          <w:szCs w:val="28"/>
          <w:lang w:val="uk-UA"/>
        </w:rPr>
        <w:t xml:space="preserve">0 -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0000,0 грн.);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</w:t>
      </w:r>
      <w:r>
        <w:rPr>
          <w:rFonts w:ascii="Times New Roman" w:hAnsi="Times New Roman"/>
          <w:sz w:val="28"/>
          <w:szCs w:val="28"/>
          <w:lang w:val="uk-UA"/>
        </w:rPr>
        <w:t xml:space="preserve">и по р</w:t>
      </w:r>
      <w:r>
        <w:rPr>
          <w:rFonts w:ascii="Times New Roman" w:hAnsi="Times New Roman"/>
          <w:sz w:val="28"/>
          <w:szCs w:val="28"/>
          <w:lang w:val="uk-UA"/>
        </w:rPr>
        <w:t xml:space="preserve">озробленн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комплексних планів просторового розвитку територій територіальних громад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фінансування «Програми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розроблення (оновлення) містобудівної документації населених пунктів Менської міської територіальної громади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17</w:t>
      </w:r>
      <w:r>
        <w:rPr>
          <w:rFonts w:ascii="Times New Roman" w:hAnsi="Times New Roman"/>
          <w:sz w:val="28"/>
          <w:szCs w:val="28"/>
          <w:lang w:val="uk-UA"/>
        </w:rPr>
        <w:t xml:space="preserve">0000,00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 на інші поточні видатки;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7351</w:t>
      </w:r>
      <w:r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 xml:space="preserve">281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0000,0 грн.);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</w:t>
      </w:r>
      <w:r>
        <w:rPr>
          <w:rFonts w:ascii="Times New Roman" w:hAnsi="Times New Roman"/>
          <w:sz w:val="28"/>
          <w:szCs w:val="28"/>
          <w:lang w:val="uk-UA"/>
        </w:rPr>
        <w:t xml:space="preserve">шити видатки по інших заходи у сфері соціального захисту і соціального забезпечення в частині фінансування ««Програма соціальної підтримки жителів Менської міської територіальної громади на 2022-2024 роки» в сумі 270000,00 грн.,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: на оплату ритуальних послуг </w:t>
      </w:r>
      <w:r>
        <w:rPr>
          <w:rFonts w:ascii="Times New Roman" w:hAnsi="Times New Roman"/>
          <w:sz w:val="28"/>
          <w:szCs w:val="28"/>
          <w:lang w:val="uk-UA"/>
        </w:rPr>
        <w:t xml:space="preserve">з поховання загиблого в сумі 150000,00 грн.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120000,00 грн. на надання допомоги члену сім’ї загиблого при захисті Вітчизни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3242</w:t>
      </w:r>
      <w:r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 xml:space="preserve">24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+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0000,0 грн.</w:t>
      </w:r>
      <w:r>
        <w:rPr>
          <w:rFonts w:ascii="Times New Roman" w:hAnsi="Times New Roman"/>
          <w:sz w:val="28"/>
          <w:szCs w:val="28"/>
          <w:lang w:val="uk-UA"/>
        </w:rPr>
        <w:t xml:space="preserve">, КЕКВ 2730+120000,00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);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00) Менської міської ради по забезпеченню діяльності місцевої пожежної 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1536,00</w:t>
      </w:r>
      <w:r>
        <w:rPr>
          <w:rFonts w:ascii="Times New Roman" w:hAnsi="Times New Roman"/>
          <w:sz w:val="28"/>
          <w:szCs w:val="28"/>
          <w:lang w:val="uk-UA"/>
        </w:rPr>
        <w:t xml:space="preserve"> грн., збільшити кошторисні призначення спеціального фонду в частині видатків на </w:t>
      </w:r>
      <w:r>
        <w:rPr>
          <w:rFonts w:ascii="Times New Roman" w:hAnsi="Times New Roman"/>
          <w:sz w:val="28"/>
          <w:szCs w:val="28"/>
          <w:lang w:val="uk-UA"/>
        </w:rPr>
        <w:t xml:space="preserve">інші енергоносії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1536,00</w:t>
      </w:r>
      <w:r>
        <w:rPr>
          <w:rFonts w:ascii="Times New Roman" w:hAnsi="Times New Roman"/>
          <w:sz w:val="28"/>
          <w:szCs w:val="28"/>
          <w:lang w:val="uk-UA"/>
        </w:rPr>
        <w:t xml:space="preserve"> грн. (оприбуткування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дров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</w:t>
      </w:r>
      <w:r>
        <w:rPr>
          <w:rFonts w:ascii="Times New Roman" w:hAnsi="Times New Roman"/>
          <w:sz w:val="28"/>
          <w:szCs w:val="28"/>
          <w:lang w:val="uk-UA"/>
        </w:rPr>
        <w:t xml:space="preserve">0118130</w:t>
      </w:r>
      <w:r>
        <w:rPr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Fonts w:ascii="Times New Roman" w:hAnsi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/>
          <w:sz w:val="28"/>
          <w:szCs w:val="28"/>
          <w:lang w:val="uk-UA"/>
        </w:rPr>
        <w:t xml:space="preserve">+</w:t>
      </w:r>
      <w:r>
        <w:rPr>
          <w:rFonts w:ascii="Times New Roman" w:hAnsi="Times New Roman"/>
          <w:sz w:val="28"/>
          <w:szCs w:val="28"/>
          <w:lang w:val="uk-UA"/>
        </w:rPr>
        <w:t xml:space="preserve">1536,00</w:t>
      </w:r>
      <w:r>
        <w:rPr>
          <w:rFonts w:ascii="Times New Roman" w:hAnsi="Times New Roman"/>
          <w:sz w:val="28"/>
          <w:szCs w:val="28"/>
          <w:lang w:val="uk-UA"/>
        </w:rPr>
        <w:t xml:space="preserve"> грн.)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загального фонду Менської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по у</w:t>
      </w:r>
      <w:r>
        <w:rPr>
          <w:rFonts w:ascii="Times New Roman" w:hAnsi="Times New Roman"/>
          <w:sz w:val="28"/>
          <w:szCs w:val="28"/>
          <w:lang w:val="uk-UA"/>
        </w:rPr>
        <w:t xml:space="preserve">триманн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та забезпеченн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 центрів соціальних служб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фінансування «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</w:t>
      </w:r>
      <w:r>
        <w:rPr>
          <w:rFonts w:ascii="Times New Roman" w:hAnsi="Times New Roman"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/>
          <w:sz w:val="28"/>
          <w:szCs w:val="28"/>
          <w:lang w:val="uk-UA"/>
        </w:rPr>
        <w:t xml:space="preserve">»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000,00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предмети та 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3121</w:t>
      </w:r>
      <w:r>
        <w:rPr>
          <w:rFonts w:ascii="Times New Roman" w:hAnsi="Times New Roman"/>
          <w:sz w:val="28"/>
          <w:szCs w:val="28"/>
          <w:lang w:val="uk-UA"/>
        </w:rPr>
        <w:t xml:space="preserve"> КЕКВ </w:t>
      </w:r>
      <w:r>
        <w:rPr>
          <w:rFonts w:ascii="Times New Roman" w:hAnsi="Times New Roman"/>
          <w:sz w:val="28"/>
          <w:szCs w:val="28"/>
          <w:lang w:val="uk-UA"/>
        </w:rPr>
        <w:t xml:space="preserve">221</w:t>
      </w:r>
      <w:r>
        <w:rPr>
          <w:rFonts w:ascii="Times New Roman" w:hAnsi="Times New Roman"/>
          <w:sz w:val="28"/>
          <w:szCs w:val="28"/>
          <w:lang w:val="uk-UA"/>
        </w:rPr>
        <w:t xml:space="preserve">0 -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0000,0 грн.);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</w:t>
      </w:r>
      <w:r>
        <w:rPr>
          <w:rFonts w:ascii="Times New Roman" w:hAnsi="Times New Roman"/>
          <w:sz w:val="28"/>
          <w:szCs w:val="28"/>
          <w:lang w:val="uk-UA"/>
        </w:rPr>
        <w:t xml:space="preserve">шити видатки </w:t>
      </w:r>
      <w:r>
        <w:rPr>
          <w:rFonts w:ascii="Times New Roman" w:hAnsi="Times New Roman"/>
          <w:sz w:val="28"/>
          <w:szCs w:val="28"/>
          <w:lang w:val="uk-UA"/>
        </w:rPr>
        <w:t xml:space="preserve">на інші енергоносії в сумі 20000,00 грн.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0113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Fonts w:ascii="Times New Roman" w:hAnsi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/>
          <w:sz w:val="28"/>
          <w:szCs w:val="28"/>
          <w:lang w:val="uk-UA"/>
        </w:rPr>
        <w:t xml:space="preserve">+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000,0 грн.);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25020100) Менської міської ради по утриманню та забезпеченню діяльності центрів соціальних служб, збільшити кошторисні призначення спеціального фонду в частині видатків на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предмети та 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12500,00</w:t>
      </w:r>
      <w:r>
        <w:rPr>
          <w:rFonts w:ascii="Times New Roman" w:hAnsi="Times New Roman"/>
          <w:sz w:val="28"/>
          <w:szCs w:val="28"/>
          <w:lang w:val="uk-UA"/>
        </w:rPr>
        <w:t xml:space="preserve"> грн. (оприбуткування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велосипедів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3121</w:t>
      </w:r>
      <w:r>
        <w:rPr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+1</w:t>
      </w:r>
      <w:r>
        <w:rPr>
          <w:rFonts w:ascii="Times New Roman" w:hAnsi="Times New Roman"/>
          <w:sz w:val="28"/>
          <w:szCs w:val="28"/>
          <w:lang w:val="uk-UA"/>
        </w:rPr>
        <w:t xml:space="preserve">2500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грн.)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25020100) Менської міської ради по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, збільшити кошторисні призначення спеціального фонду в частині видатків на предмети та матеріали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630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 (оприбуткування велосипедів);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01131</w:t>
      </w:r>
      <w:r>
        <w:rPr>
          <w:rFonts w:ascii="Times New Roman" w:hAnsi="Times New Roman"/>
          <w:sz w:val="28"/>
          <w:szCs w:val="28"/>
          <w:lang w:val="uk-UA"/>
        </w:rPr>
        <w:t xml:space="preserve">04</w:t>
      </w:r>
      <w:r>
        <w:rPr>
          <w:rFonts w:ascii="Times New Roman" w:hAnsi="Times New Roman"/>
          <w:sz w:val="28"/>
          <w:szCs w:val="28"/>
          <w:lang w:val="uk-UA"/>
        </w:rPr>
        <w:t xml:space="preserve"> КЕКВ 2210+</w:t>
      </w:r>
      <w:r>
        <w:rPr>
          <w:rFonts w:ascii="Times New Roman" w:hAnsi="Times New Roman"/>
          <w:sz w:val="28"/>
          <w:szCs w:val="28"/>
          <w:lang w:val="uk-UA"/>
        </w:rPr>
        <w:t xml:space="preserve">630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грн.)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00)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по іншій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у сфері державного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68518,00</w:t>
      </w:r>
      <w:r>
        <w:rPr>
          <w:rFonts w:ascii="Times New Roman" w:hAnsi="Times New Roman"/>
          <w:sz w:val="28"/>
          <w:szCs w:val="28"/>
          <w:lang w:val="uk-UA"/>
        </w:rPr>
        <w:t xml:space="preserve"> грн., збільшити кошторисні призначення спеціального фонду в частині видатків на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предмети та 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68518,00</w:t>
      </w:r>
      <w:r>
        <w:rPr>
          <w:rFonts w:ascii="Times New Roman" w:hAnsi="Times New Roman"/>
          <w:sz w:val="28"/>
          <w:szCs w:val="28"/>
          <w:lang w:val="uk-UA"/>
        </w:rPr>
        <w:t xml:space="preserve"> грн. (оприбуткування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меблів одержаних від Міністерства соціальної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</w:t>
      </w:r>
      <w:r>
        <w:rPr>
          <w:rFonts w:ascii="Times New Roman" w:hAnsi="Times New Roman"/>
          <w:sz w:val="28"/>
          <w:szCs w:val="28"/>
          <w:lang w:val="uk-UA"/>
        </w:rPr>
        <w:t xml:space="preserve">0110180</w:t>
      </w:r>
      <w:r>
        <w:rPr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+</w:t>
      </w:r>
      <w:r>
        <w:rPr>
          <w:rFonts w:ascii="Times New Roman" w:hAnsi="Times New Roman"/>
          <w:sz w:val="28"/>
          <w:szCs w:val="28"/>
          <w:lang w:val="uk-UA"/>
        </w:rPr>
        <w:t xml:space="preserve">68518,00</w:t>
      </w:r>
      <w:r>
        <w:rPr>
          <w:rFonts w:ascii="Times New Roman" w:hAnsi="Times New Roman"/>
          <w:sz w:val="28"/>
          <w:szCs w:val="28"/>
          <w:lang w:val="uk-UA"/>
        </w:rPr>
        <w:t xml:space="preserve"> грн.)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00) Менської міської ради по іншій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 у сфері державного управління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316615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збільшити кошторисні призначення спеціального фонду в частині видатків на пр</w:t>
      </w:r>
      <w:r>
        <w:rPr>
          <w:rFonts w:ascii="Times New Roman" w:hAnsi="Times New Roman"/>
          <w:sz w:val="28"/>
          <w:szCs w:val="28"/>
          <w:lang w:val="uk-UA"/>
        </w:rPr>
        <w:t xml:space="preserve">идбання</w:t>
      </w:r>
      <w:r>
        <w:rPr>
          <w:rFonts w:ascii="Times New Roman" w:hAnsi="Times New Roman"/>
          <w:sz w:val="28"/>
          <w:szCs w:val="28"/>
          <w:lang w:val="uk-UA"/>
        </w:rPr>
        <w:t xml:space="preserve"> обладнання і предметів довгострокового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316615</w:t>
      </w:r>
      <w:r>
        <w:rPr>
          <w:rFonts w:ascii="Times New Roman" w:hAnsi="Times New Roman"/>
          <w:sz w:val="28"/>
          <w:szCs w:val="28"/>
          <w:lang w:val="uk-UA"/>
        </w:rPr>
        <w:t xml:space="preserve">,00 грн. (оприбуткування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автомобілів).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0110180 КЕКВ 3110+316615,00 грн.)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25020200) Менсь</w:t>
      </w:r>
      <w:r>
        <w:rPr>
          <w:rFonts w:ascii="Times New Roman" w:hAnsi="Times New Roman"/>
          <w:sz w:val="28"/>
          <w:szCs w:val="28"/>
          <w:lang w:val="uk-UA"/>
        </w:rPr>
        <w:t xml:space="preserve">кої міської ради по інших заходи у сфері соціального захисту і соціального забезпечення, збільшити кошторисні призначення спеціального фонду в частині видатків на продукти харчування в сумі 1244309,57 грн. (оприбуткування продовольчих пакетів 1728 шт. від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</w:t>
      </w:r>
      <w:r>
        <w:rPr>
          <w:rFonts w:ascii="Times New Roman" w:hAnsi="Times New Roman"/>
          <w:sz w:val="28"/>
          <w:szCs w:val="28"/>
          <w:lang w:val="uk-UA"/>
        </w:rPr>
        <w:t xml:space="preserve">віфйськової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адміністрації)</w:t>
      </w:r>
      <w:r/>
    </w:p>
    <w:p>
      <w:pPr>
        <w:pStyle w:val="711"/>
        <w:ind w:left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01132</w:t>
      </w:r>
      <w:r>
        <w:rPr>
          <w:rFonts w:ascii="Times New Roman" w:hAnsi="Times New Roman"/>
          <w:sz w:val="28"/>
          <w:szCs w:val="28"/>
          <w:lang w:val="uk-UA"/>
        </w:rPr>
        <w:t xml:space="preserve">42</w:t>
      </w:r>
      <w:r>
        <w:rPr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0+1244309,57 грн.)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загального фонду Менської міської ради, а саме: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</w:t>
      </w:r>
      <w:r>
        <w:rPr>
          <w:rFonts w:ascii="Times New Roman" w:hAnsi="Times New Roman"/>
          <w:sz w:val="28"/>
          <w:szCs w:val="28"/>
          <w:lang w:val="uk-UA"/>
        </w:rPr>
        <w:t xml:space="preserve">и по о</w:t>
      </w:r>
      <w:r>
        <w:rPr>
          <w:rFonts w:ascii="Times New Roman" w:hAnsi="Times New Roman"/>
          <w:sz w:val="28"/>
          <w:szCs w:val="28"/>
          <w:lang w:val="uk-UA"/>
        </w:rPr>
        <w:t xml:space="preserve">рганізаці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 благоустрою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фінансування «Програми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видалення аварійних та небезпечних дерев на території Менської міської територіальної громади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65</w:t>
      </w:r>
      <w:r>
        <w:rPr>
          <w:rFonts w:ascii="Times New Roman" w:hAnsi="Times New Roman"/>
          <w:sz w:val="28"/>
          <w:szCs w:val="28"/>
          <w:lang w:val="uk-UA"/>
        </w:rPr>
        <w:t xml:space="preserve">000,00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 на оплату послуг;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6030</w:t>
      </w:r>
      <w:r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 xml:space="preserve">24</w:t>
      </w:r>
      <w:r>
        <w:rPr>
          <w:rFonts w:ascii="Times New Roman" w:hAnsi="Times New Roman"/>
          <w:sz w:val="28"/>
          <w:szCs w:val="28"/>
          <w:lang w:val="uk-UA"/>
        </w:rPr>
        <w:t xml:space="preserve">0 -</w:t>
      </w:r>
      <w:r>
        <w:rPr>
          <w:rFonts w:ascii="Times New Roman" w:hAnsi="Times New Roman"/>
          <w:sz w:val="28"/>
          <w:szCs w:val="28"/>
          <w:lang w:val="uk-UA"/>
        </w:rPr>
        <w:t xml:space="preserve">65</w:t>
      </w:r>
      <w:r>
        <w:rPr>
          <w:rFonts w:ascii="Times New Roman" w:hAnsi="Times New Roman"/>
          <w:sz w:val="28"/>
          <w:szCs w:val="28"/>
          <w:lang w:val="uk-UA"/>
        </w:rPr>
        <w:t xml:space="preserve">000,0 грн.);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</w:t>
      </w:r>
      <w:r>
        <w:rPr>
          <w:rFonts w:ascii="Times New Roman" w:hAnsi="Times New Roman"/>
          <w:sz w:val="28"/>
          <w:szCs w:val="28"/>
          <w:lang w:val="uk-UA"/>
        </w:rPr>
        <w:t xml:space="preserve">шити видатки по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аход</w:t>
      </w:r>
      <w:r>
        <w:rPr>
          <w:rFonts w:ascii="Times New Roman" w:hAnsi="Times New Roman"/>
          <w:sz w:val="28"/>
          <w:szCs w:val="28"/>
          <w:lang w:val="uk-UA"/>
        </w:rPr>
        <w:t xml:space="preserve">ах</w:t>
      </w:r>
      <w:r>
        <w:rPr>
          <w:rFonts w:ascii="Times New Roman" w:hAnsi="Times New Roman"/>
          <w:sz w:val="28"/>
          <w:szCs w:val="28"/>
          <w:lang w:val="uk-UA"/>
        </w:rPr>
        <w:t xml:space="preserve"> із запобігання та ліквідації надзвичайних ситуацій та наслідків стихійного лиха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фінансування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цивільного захисту Менської міської територіальної громади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650</w:t>
      </w:r>
      <w:r>
        <w:rPr>
          <w:rFonts w:ascii="Times New Roman" w:hAnsi="Times New Roman"/>
          <w:sz w:val="28"/>
          <w:szCs w:val="28"/>
          <w:lang w:val="uk-UA"/>
        </w:rPr>
        <w:t xml:space="preserve">00,00 грн</w:t>
      </w:r>
      <w:r>
        <w:rPr>
          <w:rFonts w:ascii="Times New Roman" w:hAnsi="Times New Roman"/>
          <w:sz w:val="28"/>
          <w:szCs w:val="28"/>
          <w:lang w:val="uk-UA"/>
        </w:rPr>
        <w:t xml:space="preserve">. на придбання предметів та матеріалів, для поповнення матеріального резерву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8110</w:t>
      </w:r>
      <w:r>
        <w:rPr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0+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5000,0 грн.);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загального фонду Менської міської ради, а саме: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</w:t>
      </w:r>
      <w:r>
        <w:rPr>
          <w:rFonts w:ascii="Times New Roman" w:hAnsi="Times New Roman"/>
          <w:sz w:val="28"/>
          <w:szCs w:val="28"/>
          <w:lang w:val="uk-UA"/>
        </w:rPr>
        <w:t xml:space="preserve">и по о</w:t>
      </w:r>
      <w:r>
        <w:rPr>
          <w:rFonts w:ascii="Times New Roman" w:hAnsi="Times New Roman"/>
          <w:sz w:val="28"/>
          <w:szCs w:val="28"/>
          <w:lang w:val="uk-UA"/>
        </w:rPr>
        <w:t xml:space="preserve">рганізаці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 благоустрою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фінансування «Програми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видалення аварійних та небезпечних дерев на території Менської міської територіальної громади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179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 на оплату послуг;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6030</w:t>
      </w:r>
      <w:r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 xml:space="preserve">24</w:t>
      </w:r>
      <w:r>
        <w:rPr>
          <w:rFonts w:ascii="Times New Roman" w:hAnsi="Times New Roman"/>
          <w:sz w:val="28"/>
          <w:szCs w:val="28"/>
          <w:lang w:val="uk-UA"/>
        </w:rPr>
        <w:t xml:space="preserve">0 -</w:t>
      </w:r>
      <w:r>
        <w:rPr>
          <w:rFonts w:ascii="Times New Roman" w:hAnsi="Times New Roman"/>
          <w:sz w:val="28"/>
          <w:szCs w:val="28"/>
          <w:lang w:val="uk-UA"/>
        </w:rPr>
        <w:t xml:space="preserve">179</w:t>
      </w:r>
      <w:r>
        <w:rPr>
          <w:rFonts w:ascii="Times New Roman" w:hAnsi="Times New Roman"/>
          <w:sz w:val="28"/>
          <w:szCs w:val="28"/>
          <w:lang w:val="uk-UA"/>
        </w:rPr>
        <w:t xml:space="preserve">00,0 грн.);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</w:t>
      </w:r>
      <w:r>
        <w:rPr>
          <w:rFonts w:ascii="Times New Roman" w:hAnsi="Times New Roman"/>
          <w:sz w:val="28"/>
          <w:szCs w:val="28"/>
          <w:lang w:val="uk-UA"/>
        </w:rPr>
        <w:t xml:space="preserve">шити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</w:t>
      </w:r>
      <w:r>
        <w:rPr>
          <w:rFonts w:ascii="Times New Roman" w:hAnsi="Times New Roman"/>
          <w:sz w:val="28"/>
          <w:szCs w:val="28"/>
          <w:lang w:val="uk-UA"/>
        </w:rPr>
        <w:t xml:space="preserve">и по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абезпеченн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фінансування «Програми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видалення аварійних та небезпечних дерев на території Менської міської територіальної громади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179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 на оплату с</w:t>
      </w:r>
      <w:r>
        <w:rPr>
          <w:rFonts w:ascii="Times New Roman" w:hAnsi="Times New Roman"/>
          <w:sz w:val="28"/>
          <w:szCs w:val="28"/>
          <w:lang w:val="uk-UA"/>
        </w:rPr>
        <w:t xml:space="preserve">убсиді</w:t>
      </w:r>
      <w:r>
        <w:rPr>
          <w:rFonts w:ascii="Times New Roman" w:hAnsi="Times New Roman"/>
          <w:sz w:val="28"/>
          <w:szCs w:val="28"/>
          <w:lang w:val="uk-UA"/>
        </w:rPr>
        <w:t xml:space="preserve">й</w:t>
      </w:r>
      <w:r>
        <w:rPr>
          <w:rFonts w:ascii="Times New Roman" w:hAnsi="Times New Roman"/>
          <w:sz w:val="28"/>
          <w:szCs w:val="28"/>
          <w:lang w:val="uk-UA"/>
        </w:rPr>
        <w:t xml:space="preserve"> та поточн</w:t>
      </w:r>
      <w:r>
        <w:rPr>
          <w:rFonts w:ascii="Times New Roman" w:hAnsi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/>
          <w:sz w:val="28"/>
          <w:szCs w:val="28"/>
          <w:lang w:val="uk-UA"/>
        </w:rPr>
        <w:t xml:space="preserve"> трансферт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підприємствам (установам, організаціям)</w:t>
      </w:r>
      <w:r>
        <w:rPr>
          <w:rFonts w:ascii="Times New Roman" w:hAnsi="Times New Roman"/>
          <w:sz w:val="28"/>
          <w:szCs w:val="28"/>
          <w:lang w:val="uk-UA"/>
        </w:rPr>
        <w:t xml:space="preserve">, для оплати навчання персоналу на проведення лісосічних робіт;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6020</w:t>
      </w:r>
      <w:r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 xml:space="preserve">61</w:t>
      </w:r>
      <w:r>
        <w:rPr>
          <w:rFonts w:ascii="Times New Roman" w:hAnsi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 xml:space="preserve">+179</w:t>
      </w:r>
      <w:r>
        <w:rPr>
          <w:rFonts w:ascii="Times New Roman" w:hAnsi="Times New Roman"/>
          <w:sz w:val="28"/>
          <w:szCs w:val="28"/>
          <w:lang w:val="uk-UA"/>
        </w:rPr>
        <w:t xml:space="preserve">00,0 грн.);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загального фонду Менської міської ради, а саме: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видатки по організації благоустрою населених пунктів в частині фінансування «Програми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«Розвитку 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 на 2022-2024 роки»</w:t>
      </w:r>
      <w:r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245000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 на 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предметів та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6030</w:t>
      </w:r>
      <w:r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0 -</w:t>
      </w:r>
      <w:r>
        <w:rPr>
          <w:rFonts w:ascii="Times New Roman" w:hAnsi="Times New Roman"/>
          <w:sz w:val="28"/>
          <w:szCs w:val="28"/>
          <w:lang w:val="uk-UA"/>
        </w:rPr>
        <w:t xml:space="preserve">2450</w:t>
      </w:r>
      <w:r>
        <w:rPr>
          <w:rFonts w:ascii="Times New Roman" w:hAnsi="Times New Roman"/>
          <w:sz w:val="28"/>
          <w:szCs w:val="28"/>
          <w:lang w:val="uk-UA"/>
        </w:rPr>
        <w:t xml:space="preserve">00,0 грн.);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видатки по 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нш</w:t>
      </w:r>
      <w:r>
        <w:rPr>
          <w:rFonts w:ascii="Times New Roman" w:hAnsi="Times New Roman"/>
          <w:sz w:val="28"/>
          <w:szCs w:val="28"/>
          <w:lang w:val="uk-UA"/>
        </w:rPr>
        <w:t xml:space="preserve">ій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у сфері екології та охорони природних ресурсів в частині фінансування «Програми розвитку водного господарства та екологічного оздоровлення малих річок та водойм на території Менської міської територіальної громади на 2022-2025 роки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100000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 на 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8330</w:t>
      </w:r>
      <w:r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 xml:space="preserve">24</w:t>
      </w:r>
      <w:r>
        <w:rPr>
          <w:rFonts w:ascii="Times New Roman" w:hAnsi="Times New Roman"/>
          <w:sz w:val="28"/>
          <w:szCs w:val="28"/>
          <w:lang w:val="uk-UA"/>
        </w:rPr>
        <w:t xml:space="preserve">0 -</w:t>
      </w:r>
      <w:r>
        <w:rPr>
          <w:rFonts w:ascii="Times New Roman" w:hAnsi="Times New Roman"/>
          <w:sz w:val="28"/>
          <w:szCs w:val="28"/>
          <w:lang w:val="uk-UA"/>
        </w:rPr>
        <w:t xml:space="preserve">1000</w:t>
      </w:r>
      <w:r>
        <w:rPr>
          <w:rFonts w:ascii="Times New Roman" w:hAnsi="Times New Roman"/>
          <w:sz w:val="28"/>
          <w:szCs w:val="28"/>
          <w:lang w:val="uk-UA"/>
        </w:rPr>
        <w:t xml:space="preserve">00,0 грн.);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видатки по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озробленн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схем планування та забудови територій (містобудівної документації)в частині фінансування «Програми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розроблення (оновлення) містобудівної документації населених пунктів Менської міської територіальної громади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255</w:t>
      </w:r>
      <w:r>
        <w:rPr>
          <w:rFonts w:ascii="Times New Roman" w:hAnsi="Times New Roman"/>
          <w:sz w:val="28"/>
          <w:szCs w:val="28"/>
          <w:lang w:val="uk-UA"/>
        </w:rPr>
        <w:t xml:space="preserve">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 на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ослідження і розробк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, окрем</w:t>
      </w:r>
      <w:r>
        <w:rPr>
          <w:rFonts w:ascii="Times New Roman" w:hAnsi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по реалізації державних (регіональних)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7350</w:t>
      </w:r>
      <w:r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81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255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00,0 грн.);</w:t>
      </w:r>
      <w:r/>
    </w:p>
    <w:p>
      <w:pPr>
        <w:pStyle w:val="711"/>
        <w:numPr>
          <w:ilvl w:val="0"/>
          <w:numId w:val="2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</w:t>
      </w:r>
      <w:r>
        <w:rPr>
          <w:rFonts w:ascii="Times New Roman" w:hAnsi="Times New Roman"/>
          <w:sz w:val="28"/>
          <w:szCs w:val="28"/>
          <w:lang w:val="uk-UA"/>
        </w:rPr>
        <w:t xml:space="preserve">шити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</w:t>
      </w:r>
      <w:r>
        <w:rPr>
          <w:rFonts w:ascii="Times New Roman" w:hAnsi="Times New Roman"/>
          <w:sz w:val="28"/>
          <w:szCs w:val="28"/>
          <w:lang w:val="uk-UA"/>
        </w:rPr>
        <w:t xml:space="preserve">и по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абезпеченн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функціонування підприємств, установ та організацій, що виробляють, виконують та/або надають житлово-комунальні послуги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підтримки КП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600000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 на оплату с</w:t>
      </w:r>
      <w:r>
        <w:rPr>
          <w:rFonts w:ascii="Times New Roman" w:hAnsi="Times New Roman"/>
          <w:sz w:val="28"/>
          <w:szCs w:val="28"/>
          <w:lang w:val="uk-UA"/>
        </w:rPr>
        <w:t xml:space="preserve">убсиді</w:t>
      </w:r>
      <w:r>
        <w:rPr>
          <w:rFonts w:ascii="Times New Roman" w:hAnsi="Times New Roman"/>
          <w:sz w:val="28"/>
          <w:szCs w:val="28"/>
          <w:lang w:val="uk-UA"/>
        </w:rPr>
        <w:t xml:space="preserve">й</w:t>
      </w:r>
      <w:r>
        <w:rPr>
          <w:rFonts w:ascii="Times New Roman" w:hAnsi="Times New Roman"/>
          <w:sz w:val="28"/>
          <w:szCs w:val="28"/>
          <w:lang w:val="uk-UA"/>
        </w:rPr>
        <w:t xml:space="preserve"> та поточн</w:t>
      </w:r>
      <w:r>
        <w:rPr>
          <w:rFonts w:ascii="Times New Roman" w:hAnsi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/>
          <w:sz w:val="28"/>
          <w:szCs w:val="28"/>
          <w:lang w:val="uk-UA"/>
        </w:rPr>
        <w:t xml:space="preserve"> трансферт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підприємствам (установам, організаціям)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6020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КЕКВ 2610 +</w:t>
      </w:r>
      <w:r>
        <w:rPr>
          <w:rFonts w:ascii="Times New Roman" w:hAnsi="Times New Roman"/>
          <w:sz w:val="28"/>
          <w:szCs w:val="28"/>
          <w:lang w:val="uk-UA"/>
        </w:rPr>
        <w:t xml:space="preserve">6000</w:t>
      </w:r>
      <w:r>
        <w:rPr>
          <w:rFonts w:ascii="Times New Roman" w:hAnsi="Times New Roman"/>
          <w:sz w:val="28"/>
          <w:szCs w:val="28"/>
          <w:lang w:val="uk-UA"/>
        </w:rPr>
        <w:t xml:space="preserve">00,0 грн.);</w:t>
      </w:r>
      <w:r/>
    </w:p>
    <w:p>
      <w:pPr>
        <w:pStyle w:val="711"/>
        <w:numPr>
          <w:ilvl w:val="0"/>
          <w:numId w:val="1"/>
        </w:numPr>
        <w:ind w:left="0" w:firstLine="567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25020100 «благодійні внески, гранти та дарунки») відділу освіти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спеціального фонду по Комунальній установі «Менський </w:t>
      </w:r>
      <w:r>
        <w:rPr>
          <w:rFonts w:ascii="Times New Roman" w:hAnsi="Times New Roman"/>
          <w:sz w:val="28"/>
          <w:szCs w:val="28"/>
          <w:lang w:val="uk-UA"/>
        </w:rPr>
        <w:t xml:space="preserve">інклюзивно</w:t>
      </w:r>
      <w:r>
        <w:rPr>
          <w:rFonts w:ascii="Times New Roman" w:hAnsi="Times New Roman"/>
          <w:sz w:val="28"/>
          <w:szCs w:val="28"/>
          <w:lang w:val="uk-UA"/>
        </w:rPr>
        <w:t xml:space="preserve">-ресурсний центр» Менської міської ради, а саме: збільшити кошторисн</w:t>
      </w:r>
      <w:r>
        <w:rPr>
          <w:rFonts w:ascii="Times New Roman" w:hAnsi="Times New Roman"/>
          <w:sz w:val="28"/>
          <w:szCs w:val="28"/>
          <w:lang w:val="uk-UA"/>
        </w:rPr>
        <w:t xml:space="preserve">і призначення в частині видатків для придбання предметів, матеріалів, обладнання та інвентарю на суму 27272,00 грн., зменшивши кошторисні призначення в частині видатків на придбання обладнання і предметів довгострокового користування на суму 27272,00 грн.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грантові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кошти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(КПКВК 0611151 КЕКВ 2210 +27</w:t>
      </w:r>
      <w:r>
        <w:rPr>
          <w:rFonts w:ascii="Times New Roman" w:hAnsi="Times New Roman"/>
          <w:sz w:val="28"/>
          <w:szCs w:val="28"/>
          <w:lang w:val="uk-UA"/>
        </w:rPr>
        <w:t xml:space="preserve">272</w:t>
      </w:r>
      <w:r>
        <w:rPr>
          <w:rFonts w:ascii="Times New Roman" w:hAnsi="Times New Roman"/>
          <w:sz w:val="28"/>
          <w:szCs w:val="28"/>
        </w:rPr>
        <w:t xml:space="preserve">,00 грн., КЕКВ</w:t>
      </w:r>
      <w:r>
        <w:rPr>
          <w:rFonts w:ascii="Times New Roman" w:hAnsi="Times New Roman"/>
          <w:sz w:val="28"/>
          <w:szCs w:val="28"/>
          <w:lang w:val="uk-UA"/>
        </w:rPr>
        <w:t xml:space="preserve"> 3110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-27272</w:t>
      </w:r>
      <w:r>
        <w:rPr>
          <w:rFonts w:ascii="Times New Roman" w:hAnsi="Times New Roman"/>
          <w:sz w:val="28"/>
          <w:szCs w:val="28"/>
        </w:rPr>
        <w:t xml:space="preserve">,00 грн.)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бюджету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прийнятої програми «Комплексна програма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роки», а саме: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зменшити кошторисні призначення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фонду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первинній медичній допомозі</w:t>
      </w:r>
      <w:r>
        <w:rPr>
          <w:rFonts w:ascii="Times New Roman" w:hAnsi="Times New Roman"/>
          <w:sz w:val="28"/>
          <w:szCs w:val="28"/>
          <w:lang w:val="uk-UA"/>
        </w:rPr>
        <w:t xml:space="preserve"> в частині видатків на предмети та матеріали в сумі 253000,00 грн. та спеціального фонду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обладнання та предметів довгострокового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300000,00 грн. (проведення співфінансування по програмі міжнародної технічної допомоги </w:t>
      </w:r>
      <w:r>
        <w:rPr>
          <w:rFonts w:ascii="Times New Roman" w:hAnsi="Times New Roman"/>
          <w:sz w:val="28"/>
          <w:szCs w:val="28"/>
          <w:lang w:val="uk-UA"/>
        </w:rPr>
        <w:t xml:space="preserve">«Децентралізація приносить кращі результати та ефективність» (</w:t>
      </w:r>
      <w:r>
        <w:rPr>
          <w:rFonts w:ascii="Times New Roman" w:hAnsi="Times New Roman"/>
          <w:sz w:val="28"/>
          <w:szCs w:val="28"/>
          <w:lang w:val="en-US"/>
        </w:rPr>
        <w:t xml:space="preserve">DOBRE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коштів загального фонду</w:t>
      </w:r>
      <w:r>
        <w:rPr>
          <w:rFonts w:ascii="Times New Roman" w:hAnsi="Times New Roman"/>
          <w:sz w:val="28"/>
          <w:szCs w:val="28"/>
          <w:lang w:val="uk-UA"/>
        </w:rPr>
        <w:t xml:space="preserve">);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збільшити кошторисні призначення загального фонду по багатопрофільній медичній допомозі в частині видатків на с</w:t>
      </w:r>
      <w:r>
        <w:rPr>
          <w:rFonts w:ascii="Times New Roman" w:hAnsi="Times New Roman"/>
          <w:sz w:val="28"/>
          <w:szCs w:val="28"/>
          <w:lang w:val="uk-UA"/>
        </w:rPr>
        <w:t xml:space="preserve">убсидії та поточні трансферти підприємствам (установам, організаціям)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553000,00 грн. (на оплату енергоносіїв);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(КПКВК 0112111 КЕКВ 2210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253000,00 грн., КЕКВ 3110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300000,00 грн.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; КПКВК 0112010 КЕКВ 2610+553000,00 грн.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)</w:t>
      </w:r>
      <w:r/>
    </w:p>
    <w:p>
      <w:pPr>
        <w:pStyle w:val="711"/>
        <w:numPr>
          <w:ilvl w:val="0"/>
          <w:numId w:val="1"/>
        </w:numPr>
        <w:ind w:left="0" w:firstLine="567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  <w:pBdr>
          <w:top w:val="none" w:color="000000" w:sz="4" w:space="6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доходну частину загального фонду в сумі 1216987,70 грн. (код доходів 41053900) (січень-183825,00 грн., квітень-83825,00 грн., травень-83825,00 грн., червень-129112,70 грн., вересень</w:t>
      </w:r>
      <w:r>
        <w:rPr>
          <w:rFonts w:ascii="Times New Roman" w:hAnsi="Times New Roman"/>
          <w:sz w:val="28"/>
          <w:szCs w:val="28"/>
          <w:lang w:val="uk-UA"/>
        </w:rPr>
        <w:t xml:space="preserve">-183825,00 грн., жовтень-183825,00 грн., листопад-183825,00 грн., грудень-184925,00 грн.)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субвенції з місцевого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Березнянської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селищної ради на співфінансування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міжшкільного виробничого комбінату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/>
    </w:p>
    <w:p>
      <w:pPr>
        <w:pStyle w:val="711"/>
        <w:ind w:left="0" w:firstLine="567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  <w:pBdr>
          <w:top w:val="none" w:color="000000" w:sz="4" w:space="6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видаткової частини загального фонду по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абезпеченн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 інших закладів у сфері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1216987,70 грн.,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 зменшити кошторисні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711"/>
        <w:numPr>
          <w:ilvl w:val="0"/>
          <w:numId w:val="2"/>
        </w:numPr>
        <w:ind w:left="0" w:firstLine="0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  <w:pBdr>
          <w:top w:val="none" w:color="000000" w:sz="4" w:space="6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заробітну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плату в сумі 550000,00 грн.;</w:t>
      </w:r>
      <w:r/>
    </w:p>
    <w:p>
      <w:pPr>
        <w:pStyle w:val="711"/>
        <w:numPr>
          <w:ilvl w:val="0"/>
          <w:numId w:val="2"/>
        </w:numPr>
        <w:ind w:left="0" w:firstLine="0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  <w:pBdr>
          <w:top w:val="none" w:color="000000" w:sz="4" w:space="6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нарахування на оплату праці в сумі 143000,70 грн.;</w:t>
      </w:r>
      <w:r/>
    </w:p>
    <w:p>
      <w:pPr>
        <w:pStyle w:val="711"/>
        <w:numPr>
          <w:ilvl w:val="0"/>
          <w:numId w:val="2"/>
        </w:numPr>
        <w:ind w:left="0" w:firstLine="0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  <w:pBdr>
          <w:top w:val="none" w:color="000000" w:sz="4" w:space="6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та матеріал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и в сумі 440000,00 грн.;</w:t>
      </w:r>
      <w:r/>
    </w:p>
    <w:p>
      <w:pPr>
        <w:pStyle w:val="711"/>
        <w:numPr>
          <w:ilvl w:val="0"/>
          <w:numId w:val="2"/>
        </w:numPr>
        <w:ind w:left="0" w:firstLine="0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  <w:pBdr>
          <w:top w:val="none" w:color="000000" w:sz="4" w:space="6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послуг в сумі 16987,00 грн.;</w:t>
      </w:r>
      <w:r/>
    </w:p>
    <w:p>
      <w:pPr>
        <w:pStyle w:val="711"/>
        <w:numPr>
          <w:ilvl w:val="0"/>
          <w:numId w:val="2"/>
        </w:numPr>
        <w:ind w:left="0" w:firstLine="0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  <w:pBdr>
          <w:top w:val="none" w:color="000000" w:sz="4" w:space="6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інших енергоносіїв в сумі 67000,00 грн.;</w:t>
      </w:r>
      <w:r/>
    </w:p>
    <w:p>
      <w:pPr>
        <w:pStyle w:val="711"/>
        <w:ind w:left="0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  <w:pBdr>
          <w:top w:val="none" w:color="000000" w:sz="4" w:space="6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0611141 КЕКВ 2110-550000,00 грн., КЕКВ 2120-143000,00 грн., КЕКВ 2210-440000,00 грн., КЕКВ 2240-16987,00 грн., КЕКВ 2275-67000,00 грн.)</w:t>
      </w:r>
      <w:r/>
    </w:p>
    <w:p>
      <w:pPr>
        <w:rPr>
          <w:rFonts w:ascii="Times New Roman" w:hAnsi="Times New Roman"/>
          <w:sz w:val="28"/>
          <w:szCs w:val="28"/>
          <w:highlight w:val="green"/>
          <w:lang w:val="uk-UA"/>
        </w:rPr>
      </w:pPr>
      <w:r>
        <w:rPr>
          <w:rFonts w:ascii="Times New Roman" w:hAnsi="Times New Roman"/>
          <w:sz w:val="28"/>
          <w:szCs w:val="28"/>
          <w:highlight w:val="green"/>
          <w:lang w:val="uk-UA"/>
        </w:rPr>
      </w:r>
      <w:r/>
    </w:p>
    <w:p>
      <w:pPr>
        <w:pStyle w:val="711"/>
        <w:ind w:left="567"/>
        <w:rPr>
          <w:rFonts w:ascii="Times New Roman" w:hAnsi="Times New Roman"/>
          <w:sz w:val="28"/>
          <w:szCs w:val="28"/>
          <w:highlight w:val="green"/>
          <w:lang w:val="uk-UA"/>
        </w:rPr>
      </w:pPr>
      <w:r>
        <w:rPr>
          <w:rFonts w:ascii="Times New Roman" w:hAnsi="Times New Roman"/>
          <w:sz w:val="28"/>
          <w:szCs w:val="28"/>
          <w:highlight w:val="green"/>
          <w:lang w:val="uk-U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ачальник 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Фінансового управління </w:t>
      </w:r>
      <w:r/>
    </w:p>
    <w:p>
      <w:pPr>
        <w:jc w:val="both"/>
        <w:tabs>
          <w:tab w:val="left" w:pos="6094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Алла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НЕРОСЛИК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73924340"/>
      <w:docPartObj>
        <w:docPartGallery w:val="Page Numbers (Top of Page)"/>
        <w:docPartUnique w:val="true"/>
      </w:docPartObj>
      <w:rPr/>
    </w:sdtPr>
    <w:sdtContent>
      <w:p>
        <w:pPr>
          <w:pStyle w:val="721"/>
          <w:jc w:val="center"/>
        </w:pPr>
        <w:r>
          <w:rPr>
            <w:lang w:val="uk-UA"/>
          </w:rPr>
          <w:t xml:space="preserve">Сторінка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uk-UA"/>
          </w:rPr>
          <w:t xml:space="preserve"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uk-UA"/>
          </w:rPr>
          <w:t xml:space="preserve"> 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uk-UA"/>
          </w:rPr>
          <w:t xml:space="preserve">2</w:t>
        </w:r>
        <w:r>
          <w:rPr>
            <w:b/>
            <w:bCs/>
            <w:sz w:val="24"/>
            <w:szCs w:val="24"/>
          </w:rPr>
          <w:fldChar w:fldCharType="end"/>
        </w:r>
        <w:r/>
      </w:p>
    </w:sdtContent>
  </w:sdt>
  <w:p>
    <w:pPr>
      <w:pStyle w:val="7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2564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567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9"/>
    <w:link w:val="69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9"/>
    <w:link w:val="69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9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9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9"/>
    <w:link w:val="713"/>
    <w:uiPriority w:val="10"/>
    <w:rPr>
      <w:sz w:val="48"/>
      <w:szCs w:val="48"/>
    </w:rPr>
  </w:style>
  <w:style w:type="character" w:styleId="35">
    <w:name w:val="Subtitle Char"/>
    <w:basedOn w:val="699"/>
    <w:link w:val="715"/>
    <w:uiPriority w:val="11"/>
    <w:rPr>
      <w:sz w:val="24"/>
      <w:szCs w:val="24"/>
    </w:rPr>
  </w:style>
  <w:style w:type="character" w:styleId="37">
    <w:name w:val="Quote Char"/>
    <w:link w:val="717"/>
    <w:uiPriority w:val="29"/>
    <w:rPr>
      <w:i/>
    </w:rPr>
  </w:style>
  <w:style w:type="character" w:styleId="39">
    <w:name w:val="Intense Quote Char"/>
    <w:link w:val="719"/>
    <w:uiPriority w:val="30"/>
    <w:rPr>
      <w:i/>
    </w:rPr>
  </w:style>
  <w:style w:type="character" w:styleId="41">
    <w:name w:val="Header Char"/>
    <w:basedOn w:val="699"/>
    <w:link w:val="721"/>
    <w:uiPriority w:val="99"/>
  </w:style>
  <w:style w:type="character" w:styleId="45">
    <w:name w:val="Caption Char"/>
    <w:basedOn w:val="725"/>
    <w:link w:val="723"/>
    <w:uiPriority w:val="99"/>
  </w:style>
  <w:style w:type="table" w:styleId="48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54"/>
    <w:uiPriority w:val="99"/>
    <w:rPr>
      <w:sz w:val="18"/>
    </w:rPr>
  </w:style>
  <w:style w:type="character" w:styleId="177">
    <w:name w:val="Endnote Text Char"/>
    <w:link w:val="857"/>
    <w:uiPriority w:val="99"/>
    <w:rPr>
      <w:sz w:val="20"/>
    </w:rPr>
  </w:style>
  <w:style w:type="paragraph" w:styleId="689" w:default="1">
    <w:name w:val="Normal"/>
    <w:qFormat/>
    <w:rPr>
      <w:lang w:val="ru-RU" w:eastAsia="zh-CN"/>
    </w:rPr>
  </w:style>
  <w:style w:type="paragraph" w:styleId="690">
    <w:name w:val="Heading 1"/>
    <w:link w:val="702"/>
    <w:qFormat/>
    <w:uiPriority w:val="9"/>
    <w:rPr>
      <w:rFonts w:ascii="Arial" w:hAnsi="Arial" w:cs="Arial" w:eastAsia="Arial"/>
      <w:sz w:val="40"/>
      <w:szCs w:val="40"/>
      <w:lang w:val="ru-RU" w:eastAsia="zh-CN"/>
    </w:rPr>
    <w:pPr>
      <w:keepLines/>
      <w:keepNext/>
      <w:spacing w:after="200" w:before="480"/>
      <w:outlineLvl w:val="0"/>
    </w:pPr>
  </w:style>
  <w:style w:type="paragraph" w:styleId="691">
    <w:name w:val="Heading 2"/>
    <w:link w:val="703"/>
    <w:qFormat/>
    <w:uiPriority w:val="9"/>
    <w:unhideWhenUsed/>
    <w:rPr>
      <w:rFonts w:ascii="Arial" w:hAnsi="Arial" w:cs="Arial" w:eastAsia="Arial"/>
      <w:sz w:val="34"/>
      <w:lang w:val="ru-RU" w:eastAsia="zh-CN"/>
    </w:rPr>
    <w:pPr>
      <w:keepLines/>
      <w:keepNext/>
      <w:spacing w:after="200" w:before="360"/>
      <w:outlineLvl w:val="1"/>
    </w:pPr>
  </w:style>
  <w:style w:type="paragraph" w:styleId="692">
    <w:name w:val="Heading 3"/>
    <w:link w:val="704"/>
    <w:qFormat/>
    <w:uiPriority w:val="9"/>
    <w:unhideWhenUsed/>
    <w:rPr>
      <w:rFonts w:ascii="Arial" w:hAnsi="Arial" w:cs="Arial" w:eastAsia="Arial"/>
      <w:sz w:val="30"/>
      <w:szCs w:val="30"/>
      <w:lang w:val="ru-RU" w:eastAsia="zh-CN"/>
    </w:rPr>
    <w:pPr>
      <w:keepLines/>
      <w:keepNext/>
      <w:spacing w:after="200" w:before="320"/>
      <w:outlineLvl w:val="2"/>
    </w:pPr>
  </w:style>
  <w:style w:type="paragraph" w:styleId="693">
    <w:name w:val="Heading 4"/>
    <w:link w:val="705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694">
    <w:name w:val="Heading 5"/>
    <w:link w:val="706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695">
    <w:name w:val="Heading 6"/>
    <w:link w:val="707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696">
    <w:name w:val="Heading 7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697">
    <w:name w:val="Heading 8"/>
    <w:link w:val="709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698">
    <w:name w:val="Heading 9"/>
    <w:link w:val="710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Заголовок 1 Знак"/>
    <w:link w:val="690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Заголовок 2 Знак"/>
    <w:link w:val="691"/>
    <w:uiPriority w:val="9"/>
    <w:rPr>
      <w:rFonts w:ascii="Arial" w:hAnsi="Arial" w:cs="Arial" w:eastAsia="Arial"/>
      <w:sz w:val="34"/>
    </w:rPr>
  </w:style>
  <w:style w:type="character" w:styleId="704" w:customStyle="1">
    <w:name w:val="Заголовок 3 Знак"/>
    <w:link w:val="692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Заголовок 4 Знак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Заголовок 5 Знак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Заголовок 6 Знак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Заголовок 7 Знак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Заголовок 8 Знак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Заголовок 9 Знак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689"/>
    <w:qFormat/>
    <w:uiPriority w:val="34"/>
    <w:rPr>
      <w:rFonts w:ascii="Arial Unicode MS" w:hAnsi="Arial Unicode MS" w:eastAsia="Arial Unicode MS"/>
    </w:rPr>
    <w:pPr>
      <w:contextualSpacing w:val="true"/>
      <w:ind w:left="720"/>
    </w:pPr>
  </w:style>
  <w:style w:type="paragraph" w:styleId="712">
    <w:name w:val="No Spacing"/>
    <w:qFormat/>
    <w:uiPriority w:val="1"/>
    <w:rPr>
      <w:lang w:val="ru-RU" w:eastAsia="zh-CN"/>
    </w:rPr>
  </w:style>
  <w:style w:type="paragraph" w:styleId="713">
    <w:name w:val="Title"/>
    <w:link w:val="714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14" w:customStyle="1">
    <w:name w:val="Назва Знак"/>
    <w:link w:val="713"/>
    <w:uiPriority w:val="10"/>
    <w:rPr>
      <w:sz w:val="48"/>
      <w:szCs w:val="48"/>
    </w:rPr>
  </w:style>
  <w:style w:type="paragraph" w:styleId="715">
    <w:name w:val="Subtitle"/>
    <w:link w:val="716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16" w:customStyle="1">
    <w:name w:val="Підзаголовок Знак"/>
    <w:link w:val="715"/>
    <w:uiPriority w:val="11"/>
    <w:rPr>
      <w:sz w:val="24"/>
      <w:szCs w:val="24"/>
    </w:rPr>
  </w:style>
  <w:style w:type="paragraph" w:styleId="717">
    <w:name w:val="Quote"/>
    <w:link w:val="718"/>
    <w:qFormat/>
    <w:uiPriority w:val="29"/>
    <w:rPr>
      <w:i/>
      <w:lang w:val="ru-RU" w:eastAsia="zh-CN"/>
    </w:rPr>
    <w:pPr>
      <w:ind w:left="720" w:right="720"/>
    </w:pPr>
  </w:style>
  <w:style w:type="character" w:styleId="718" w:customStyle="1">
    <w:name w:val="Цитата Знак"/>
    <w:link w:val="717"/>
    <w:uiPriority w:val="29"/>
    <w:rPr>
      <w:i/>
    </w:rPr>
  </w:style>
  <w:style w:type="paragraph" w:styleId="719">
    <w:name w:val="Intense Quote"/>
    <w:link w:val="720"/>
    <w:qFormat/>
    <w:uiPriority w:val="30"/>
    <w:rPr>
      <w:i/>
      <w:lang w:val="ru-RU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Насичена цитата Знак"/>
    <w:link w:val="719"/>
    <w:uiPriority w:val="30"/>
    <w:rPr>
      <w:i/>
    </w:rPr>
  </w:style>
  <w:style w:type="paragraph" w:styleId="721">
    <w:name w:val="Header"/>
    <w:link w:val="722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22" w:customStyle="1">
    <w:name w:val="Верхній колонтитул Знак"/>
    <w:link w:val="721"/>
    <w:uiPriority w:val="99"/>
  </w:style>
  <w:style w:type="paragraph" w:styleId="723">
    <w:name w:val="Footer"/>
    <w:link w:val="726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uiPriority w:val="99"/>
  </w:style>
  <w:style w:type="paragraph" w:styleId="725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26" w:customStyle="1">
    <w:name w:val="Нижній колонтитул Знак"/>
    <w:link w:val="723"/>
    <w:uiPriority w:val="99"/>
  </w:style>
  <w:style w:type="table" w:styleId="727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Таблица простая 1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Таблица простая 21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3">
    <w:name w:val="Hyperlink"/>
    <w:uiPriority w:val="99"/>
    <w:unhideWhenUsed/>
    <w:rPr>
      <w:color w:val="0000FF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55" w:customStyle="1">
    <w:name w:val="Текст ви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endnote text"/>
    <w:link w:val="858"/>
    <w:uiPriority w:val="99"/>
    <w:semiHidden/>
    <w:unhideWhenUsed/>
    <w:rPr>
      <w:lang w:val="ru-RU" w:eastAsia="zh-CN"/>
    </w:rPr>
  </w:style>
  <w:style w:type="character" w:styleId="858" w:customStyle="1">
    <w:name w:val="Текст кінцевої виноски Знак"/>
    <w:link w:val="857"/>
    <w:uiPriority w:val="99"/>
    <w:rPr>
      <w:sz w:val="20"/>
    </w:rPr>
  </w:style>
  <w:style w:type="character" w:styleId="859">
    <w:name w:val="endnote reference"/>
    <w:uiPriority w:val="99"/>
    <w:semiHidden/>
    <w:unhideWhenUsed/>
    <w:rPr>
      <w:vertAlign w:val="superscript"/>
    </w:rPr>
  </w:style>
  <w:style w:type="paragraph" w:styleId="860">
    <w:name w:val="toc 1"/>
    <w:uiPriority w:val="39"/>
    <w:unhideWhenUsed/>
    <w:rPr>
      <w:lang w:val="ru-RU" w:eastAsia="zh-CN"/>
    </w:rPr>
    <w:pPr>
      <w:spacing w:after="57"/>
    </w:pPr>
  </w:style>
  <w:style w:type="paragraph" w:styleId="86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6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6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6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6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6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6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6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69">
    <w:name w:val="TOC Heading"/>
    <w:uiPriority w:val="39"/>
    <w:unhideWhenUsed/>
    <w:rPr>
      <w:lang w:val="ru-RU" w:eastAsia="zh-CN"/>
    </w:rPr>
  </w:style>
  <w:style w:type="paragraph" w:styleId="870">
    <w:name w:val="table of figures"/>
    <w:uiPriority w:val="99"/>
    <w:unhideWhenUsed/>
    <w:rPr>
      <w:lang w:val="ru-RU" w:eastAsia="zh-CN"/>
    </w:rPr>
  </w:style>
  <w:style w:type="paragraph" w:styleId="871">
    <w:name w:val="Body Text Indent 3"/>
    <w:basedOn w:val="689"/>
    <w:link w:val="872"/>
    <w:rPr>
      <w:rFonts w:ascii="Times New Roman" w:hAnsi="Times New Roman" w:eastAsia="Times New Roman"/>
      <w:sz w:val="28"/>
      <w:u w:val="single"/>
      <w:lang w:val="uk-UA" w:eastAsia="ru-RU"/>
    </w:rPr>
    <w:pPr>
      <w:ind w:firstLine="851"/>
      <w:jc w:val="both"/>
      <w:spacing w:before="120"/>
      <w:tabs>
        <w:tab w:val="num" w:pos="0" w:leader="none"/>
      </w:tabs>
    </w:pPr>
  </w:style>
  <w:style w:type="character" w:styleId="872" w:customStyle="1">
    <w:name w:val="Основний текст з відступом 3 Знак"/>
    <w:link w:val="871"/>
    <w:rPr>
      <w:rFonts w:ascii="Times New Roman" w:hAnsi="Times New Roman" w:eastAsia="Times New Roman"/>
      <w:sz w:val="28"/>
      <w:szCs w:val="20"/>
      <w:u w:val="single"/>
      <w:lang w:val="uk-UA" w:eastAsia="ru-RU"/>
    </w:rPr>
  </w:style>
  <w:style w:type="paragraph" w:styleId="873">
    <w:name w:val="Normal (Web)"/>
    <w:basedOn w:val="68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74">
    <w:name w:val="Strong"/>
    <w:rPr>
      <w:b/>
      <w:bCs/>
    </w:rPr>
  </w:style>
  <w:style w:type="character" w:styleId="875">
    <w:name w:val="Emphasis"/>
    <w:rPr>
      <w:i/>
      <w:iCs/>
    </w:rPr>
  </w:style>
  <w:style w:type="paragraph" w:styleId="876">
    <w:name w:val="Balloon Text"/>
    <w:basedOn w:val="689"/>
    <w:link w:val="877"/>
    <w:semiHidden/>
    <w:rPr>
      <w:rFonts w:ascii="Tahoma" w:hAnsi="Tahoma"/>
      <w:sz w:val="16"/>
      <w:szCs w:val="16"/>
    </w:rPr>
  </w:style>
  <w:style w:type="character" w:styleId="877" w:customStyle="1">
    <w:name w:val="Текст у виносці Знак"/>
    <w:link w:val="876"/>
    <w:semiHidden/>
    <w:rPr>
      <w:rFonts w:ascii="Tahoma" w:hAnsi="Tahoma" w:eastAsia="Calibri"/>
      <w:sz w:val="16"/>
      <w:szCs w:val="16"/>
    </w:rPr>
  </w:style>
  <w:style w:type="paragraph" w:styleId="878">
    <w:name w:val="Body Text Indent"/>
    <w:basedOn w:val="689"/>
    <w:link w:val="879"/>
    <w:semiHidden/>
    <w:pPr>
      <w:ind w:left="283"/>
      <w:spacing w:after="120"/>
    </w:pPr>
  </w:style>
  <w:style w:type="character" w:styleId="879" w:customStyle="1">
    <w:name w:val="Основний текст з відступом Знак"/>
    <w:link w:val="878"/>
    <w:semiHidden/>
    <w:rPr>
      <w:sz w:val="22"/>
      <w:szCs w:val="22"/>
      <w:lang w:eastAsia="en-US"/>
    </w:rPr>
  </w:style>
  <w:style w:type="character" w:styleId="880" w:customStyle="1">
    <w:name w:val="docdata;docy;v5;3337;baiaagaaboqcaaad1agaaaxicaaaaaaaaaaaaaaaaaaaaaaaaaaaaaaaaaaaaaaaaaaaaaaaaaaaaaaaaaaaaaaaaaaaaaaaaaaaaaaaaaaaaaaaaaaaaaaaaaaaaaaaaaaaaaaaaaaaaaaaaaaaaaaaaaaaaaaaaaaaaaaaaaaaaaaaaaaaaaaaaaaaaaaaaaaaaaaaaaaaaaaaaaaaaaaaaaaaaaaaaaaaaaaa"/>
  </w:style>
  <w:style w:type="paragraph" w:styleId="881" w:customStyle="1">
    <w:name w:val="3262;baiaagaaboqcaaadiqgaaawxcaaaaaaaaaaaaaaaaaaaaaaaaaaaaaaaaaaaaaaaaaaaaaaaaaaaaaaaaaaaaaaaaaaaaaaaaaaaaaaaaaaaaaaaaaaaaaaaaaaaaaaaaaaaaaaaaaaaaaaaaaaaaaaaaaaaaaaaaaaaaaaaaaaaaaaaaaaaaaaaaaaaaaaaaaaaaaaaaaaaaaaaaaaaaaaaaaaaaaaaaaaaaaaa"/>
    <w:basedOn w:val="68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82" w:customStyle="1">
    <w:name w:val="2530;baiaagaaboqcaaadrquaaaw7bqaaaaaaaaaaaaaaaaaaaaaaaaaaaaaaaaaaaaaaaaaaaaaaaaaaaaaaaaaaaaaaaaaaaaaaaaaaaaaaaaaaaaaaaaaaaaaaaaaaaaaaaaaaaaaaaaaaaaaaaaaaaaaaaaaaaaaaaaaaaaaaaaaaaaaaaaaaaaaaaaaaaaaaaaaaaaaaaaaaaaaaaaaaaaaaaaaaaaaaaaaaaaaa"/>
    <w:basedOn w:val="68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83" w:customStyle="1">
    <w:name w:val="rvts0"/>
  </w:style>
  <w:style w:type="character" w:styleId="884" w:customStyle="1">
    <w:name w:val="Основной текст (2)_"/>
    <w:link w:val="885"/>
    <w:rPr>
      <w:rFonts w:ascii="Times New Roman" w:hAnsi="Times New Roman" w:eastAsia="Times New Roman"/>
      <w:sz w:val="28"/>
      <w:szCs w:val="28"/>
      <w:shd w:val="clear" w:fill="FFFFFF" w:color="auto"/>
    </w:rPr>
  </w:style>
  <w:style w:type="paragraph" w:styleId="885" w:customStyle="1">
    <w:name w:val="Основной текст (2)"/>
    <w:basedOn w:val="689"/>
    <w:link w:val="884"/>
    <w:rPr>
      <w:rFonts w:ascii="Times New Roman" w:hAnsi="Times New Roman" w:eastAsia="Times New Roman"/>
      <w:sz w:val="28"/>
      <w:szCs w:val="28"/>
      <w:lang w:eastAsia="ru-RU"/>
    </w:rPr>
    <w:pPr>
      <w:jc w:val="center"/>
      <w:spacing w:lineRule="atLeast" w:line="0" w:after="240" w:before="480"/>
      <w:shd w:val="clear" w:fill="FFFFFF" w:color="auto"/>
      <w:widowControl w:val="off"/>
    </w:pPr>
  </w:style>
  <w:style w:type="paragraph" w:styleId="886" w:customStyle="1">
    <w:name w:val="Обычный1"/>
    <w:rPr>
      <w:rFonts w:ascii="Times New Roman" w:hAnsi="Times New Roman" w:eastAsia="Times New Roman"/>
      <w:sz w:val="22"/>
      <w:szCs w:val="22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rvps14"/>
    <w:basedOn w:val="689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</w:pPr>
  </w:style>
  <w:style w:type="character" w:styleId="888" w:customStyle="1">
    <w:name w:val="docdata"/>
  </w:style>
  <w:style w:type="paragraph" w:styleId="889" w:customStyle="1">
    <w:name w:val="Название объекта1"/>
    <w:basedOn w:val="689"/>
    <w:next w:val="689"/>
    <w:rPr>
      <w:rFonts w:ascii="Times New Roman" w:hAnsi="Times New Roman" w:eastAsia="Times New Roman"/>
      <w:sz w:val="32"/>
      <w:lang w:val="uk-UA"/>
    </w:rPr>
    <w:pPr>
      <w:jc w:val="center"/>
    </w:pPr>
  </w:style>
  <w:style w:type="paragraph" w:styleId="890" w:customStyle="1">
    <w:name w:val="Звичайний1"/>
    <w:rPr>
      <w:rFonts w:ascii="Times New Roman" w:hAnsi="Times New Roman" w:eastAsia="Times New Roman"/>
      <w:sz w:val="24"/>
      <w:szCs w:val="24"/>
      <w:lang w:val="ru-RU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1D4DD52-26E5-40DC-BBC0-D1EDF4D10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ПРИМАКОВ Геннадій Анатолійович</cp:lastModifiedBy>
  <cp:revision>83</cp:revision>
  <dcterms:created xsi:type="dcterms:W3CDTF">2021-11-17T17:03:00Z</dcterms:created>
  <dcterms:modified xsi:type="dcterms:W3CDTF">2022-08-30T16:19:11Z</dcterms:modified>
</cp:coreProperties>
</file>