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  <w:t xml:space="preserve"> </w:t>
      </w:r>
      <w:r/>
    </w:p>
    <w:p>
      <w:pPr>
        <w:ind w:left="623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</w:t>
      </w:r>
      <w:r/>
    </w:p>
    <w:p>
      <w:pPr>
        <w:ind w:left="6236" w:right="0"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9 серпня </w:t>
      </w:r>
      <w:r>
        <w:rPr>
          <w:sz w:val="28"/>
          <w:szCs w:val="28"/>
        </w:rPr>
        <w:t xml:space="preserve">2022 року № </w:t>
      </w:r>
      <w:r>
        <w:rPr>
          <w:sz w:val="28"/>
          <w:szCs w:val="28"/>
          <w:lang w:val="uk-UA"/>
        </w:rPr>
        <w:t xml:space="preserve">274</w:t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08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33335617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902"/>
                <w:sz w:val="22"/>
                <w:szCs w:val="22"/>
              </w:rPr>
              <w:t xml:space="preserve">UA74020030270022343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Осьмаківська</w:t>
      </w:r>
      <w:r>
        <w:rPr>
          <w:sz w:val="18"/>
          <w:szCs w:val="18"/>
          <w:u w:val="single"/>
          <w:lang w:val="uk-UA"/>
        </w:rPr>
        <w:t xml:space="preserve">  загальноосвітня школа І ст.</w:t>
      </w:r>
      <w:r>
        <w:rPr>
          <w:sz w:val="18"/>
          <w:szCs w:val="18"/>
          <w:u w:val="single"/>
          <w:lang w:val="uk-UA"/>
        </w:rPr>
        <w:t xml:space="preserve">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 xml:space="preserve">_                           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</w:t>
      </w:r>
      <w:r>
        <w:rPr>
          <w:sz w:val="22"/>
          <w:szCs w:val="22"/>
          <w:lang w:val="uk-UA"/>
        </w:rPr>
        <w:t xml:space="preserve">      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25 серпня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963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1011"/>
        <w:gridCol w:w="1977"/>
        <w:gridCol w:w="78"/>
        <w:gridCol w:w="1984"/>
      </w:tblGrid>
      <w:tr>
        <w:trPr>
          <w:trHeight w:val="500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fill="auto" w:color="auto"/>
            <w:tcW w:w="963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197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62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W w:w="96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fill="auto" w:color="auto"/>
            <w:tcBorders>
              <w:bottom w:val="single" w:sz="4" w:space="0" w:color="auto"/>
            </w:tcBorders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fill="auto" w:color="auto"/>
            <w:tcW w:w="963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5"/>
            <w:shd w:val="clear" w:fill="auto" w:color="auto"/>
            <w:tcW w:w="963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fill="auto" w:color="auto"/>
            <w:tcW w:w="205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Заступник голови ліквідаційної комісії </w:t>
      </w:r>
      <w:r>
        <w:rPr>
          <w:sz w:val="22"/>
          <w:szCs w:val="22"/>
          <w:lang w:val="uk-UA"/>
        </w:rPr>
        <w:tab/>
        <w:t xml:space="preserve">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Тетяна ЧУБ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rPr>
          <w:lang w:val="uk-UA"/>
        </w:rPr>
      </w:pPr>
      <w:r>
        <w:rPr>
          <w:lang w:val="uk-UA"/>
        </w:rPr>
      </w:r>
      <w:r/>
    </w:p>
    <w:p>
      <w:pPr>
        <w:ind w:firstLine="0"/>
        <w:rPr>
          <w:lang w:val="uk-UA"/>
        </w:rPr>
      </w:pPr>
      <w:r>
        <w:rPr>
          <w:lang w:val="uk-UA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ЛУК’ЯНЕНКО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t xml:space="preserve">                                    </w:t>
    </w:r>
    <w:r>
      <w:t xml:space="preserve">продовження</w:t>
    </w:r>
    <w:r>
      <w:t xml:space="preserve"> </w:t>
    </w:r>
    <w:r>
      <w:t xml:space="preserve">додатка</w:t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6"/>
    <w:link w:val="740"/>
    <w:uiPriority w:val="10"/>
    <w:rPr>
      <w:sz w:val="48"/>
      <w:szCs w:val="48"/>
    </w:rPr>
  </w:style>
  <w:style w:type="character" w:styleId="35">
    <w:name w:val="Subtitle Char"/>
    <w:basedOn w:val="726"/>
    <w:link w:val="742"/>
    <w:uiPriority w:val="11"/>
    <w:rPr>
      <w:sz w:val="24"/>
      <w:szCs w:val="24"/>
    </w:rPr>
  </w:style>
  <w:style w:type="character" w:styleId="37">
    <w:name w:val="Quote Char"/>
    <w:link w:val="744"/>
    <w:uiPriority w:val="29"/>
    <w:rPr>
      <w:i/>
    </w:rPr>
  </w:style>
  <w:style w:type="character" w:styleId="39">
    <w:name w:val="Intense Quote Char"/>
    <w:link w:val="746"/>
    <w:uiPriority w:val="30"/>
    <w:rPr>
      <w:i/>
    </w:r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881"/>
    <w:uiPriority w:val="99"/>
    <w:rPr>
      <w:sz w:val="20"/>
    </w:rPr>
  </w:style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29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30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31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32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34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 Знак"/>
    <w:basedOn w:val="726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ідзаголовок Знак"/>
    <w:basedOn w:val="726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Насичена цитата Знак"/>
    <w:link w:val="746"/>
    <w:uiPriority w:val="30"/>
    <w:rPr>
      <w:i/>
    </w:rPr>
  </w:style>
  <w:style w:type="character" w:styleId="748" w:customStyle="1">
    <w:name w:val="Header Char"/>
    <w:basedOn w:val="726"/>
    <w:uiPriority w:val="99"/>
  </w:style>
  <w:style w:type="character" w:styleId="749" w:customStyle="1">
    <w:name w:val="Footer Char"/>
    <w:basedOn w:val="726"/>
    <w:uiPriority w:val="99"/>
  </w:style>
  <w:style w:type="paragraph" w:styleId="750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7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7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7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7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7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7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7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6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6"/>
    <w:uiPriority w:val="99"/>
    <w:unhideWhenUsed/>
    <w:rPr>
      <w:vertAlign w:val="superscript"/>
    </w:rPr>
  </w:style>
  <w:style w:type="paragraph" w:styleId="881">
    <w:name w:val="endnote text"/>
    <w:basedOn w:val="716"/>
    <w:link w:val="882"/>
    <w:uiPriority w:val="99"/>
    <w:semiHidden/>
    <w:unhideWhenUsed/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6"/>
    <w:uiPriority w:val="99"/>
    <w:semiHidden/>
    <w:unhideWhenUsed/>
    <w:rPr>
      <w:vertAlign w:val="superscript"/>
    </w:rPr>
  </w:style>
  <w:style w:type="paragraph" w:styleId="884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885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886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887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888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889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890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891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892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6"/>
    <w:next w:val="716"/>
    <w:uiPriority w:val="99"/>
    <w:unhideWhenUsed/>
  </w:style>
  <w:style w:type="paragraph" w:styleId="895" w:customStyle="1">
    <w:name w:val="Русский"/>
    <w:basedOn w:val="716"/>
  </w:style>
  <w:style w:type="paragraph" w:styleId="896" w:customStyle="1">
    <w:name w:val="Украинский"/>
    <w:basedOn w:val="716"/>
    <w:rPr>
      <w:lang w:val="uk-UA"/>
    </w:rPr>
  </w:style>
  <w:style w:type="table" w:styleId="897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8">
    <w:name w:val="Footer"/>
    <w:basedOn w:val="716"/>
    <w:link w:val="899"/>
    <w:pPr>
      <w:tabs>
        <w:tab w:val="center" w:pos="4819" w:leader="none"/>
        <w:tab w:val="right" w:pos="9639" w:leader="none"/>
      </w:tabs>
    </w:pPr>
  </w:style>
  <w:style w:type="character" w:styleId="899" w:customStyle="1">
    <w:name w:val="Нижній колонтитул Знак"/>
    <w:link w:val="898"/>
    <w:rPr>
      <w:sz w:val="28"/>
      <w:lang w:val="ru-RU" w:eastAsia="ru-RU"/>
    </w:rPr>
  </w:style>
  <w:style w:type="paragraph" w:styleId="900">
    <w:name w:val="Header"/>
    <w:basedOn w:val="716"/>
    <w:link w:val="901"/>
    <w:pPr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link w:val="900"/>
    <w:rPr>
      <w:sz w:val="28"/>
      <w:lang w:val="ru-RU" w:eastAsia="ru-RU"/>
    </w:rPr>
  </w:style>
  <w:style w:type="character" w:styleId="902" w:customStyle="1">
    <w:name w:val="code"/>
    <w:basedOn w:val="726"/>
  </w:style>
  <w:style w:type="paragraph" w:styleId="903">
    <w:name w:val="Body Text"/>
    <w:basedOn w:val="716"/>
    <w:link w:val="904"/>
    <w:uiPriority w:val="99"/>
    <w:semiHidden/>
    <w:unhideWhenUsed/>
    <w:rPr>
      <w:rFonts w:ascii="Calibri" w:hAnsi="Calibri" w:eastAsia="Calibri"/>
      <w:sz w:val="22"/>
      <w:szCs w:val="22"/>
      <w:lang w:bidi="en-US" w:eastAsia="en-US"/>
    </w:rPr>
    <w:pPr>
      <w:ind w:firstLine="0"/>
      <w:jc w:val="left"/>
      <w:spacing w:after="120"/>
      <w:widowControl/>
    </w:pPr>
  </w:style>
  <w:style w:type="character" w:styleId="904" w:customStyle="1">
    <w:name w:val="Основний текст Знак"/>
    <w:basedOn w:val="726"/>
    <w:link w:val="903"/>
    <w:uiPriority w:val="99"/>
    <w:semiHidden/>
    <w:rPr>
      <w:rFonts w:ascii="Calibri" w:hAnsi="Calibri" w:eastAsia="Calibri"/>
      <w:sz w:val="22"/>
      <w:szCs w:val="22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3</cp:revision>
  <dcterms:created xsi:type="dcterms:W3CDTF">2022-08-29T12:28:00Z</dcterms:created>
  <dcterms:modified xsi:type="dcterms:W3CDTF">2022-08-29T15:02:51Z</dcterms:modified>
</cp:coreProperties>
</file>