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830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830"/>
        <w:jc w:val="center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двадцят</w:t>
      </w:r>
      <w:r>
        <w:rPr>
          <w:b/>
          <w:color w:val="000000"/>
          <w:sz w:val="28"/>
          <w:lang w:val="uk-UA"/>
        </w:rPr>
        <w:t xml:space="preserve">ь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831"/>
        <w:tabs>
          <w:tab w:val="left" w:pos="4677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lang w:bidi="hi-IN" w:eastAsia="hi-IN"/>
        </w:rPr>
        <w:t xml:space="preserve">22 липн</w:t>
      </w:r>
      <w:r>
        <w:rPr>
          <w:color w:val="000000"/>
          <w:sz w:val="28"/>
          <w:szCs w:val="28"/>
          <w:lang w:bidi="hi-IN" w:eastAsia="hi-IN"/>
        </w:rPr>
        <w:t xml:space="preserve">я</w:t>
      </w:r>
      <w:r>
        <w:rPr>
          <w:color w:val="000000"/>
          <w:sz w:val="28"/>
          <w:szCs w:val="28"/>
          <w:lang w:bidi="hi-IN" w:eastAsia="hi-IN"/>
        </w:rPr>
        <w:t xml:space="preserve">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color w:val="000000"/>
          <w:sz w:val="28"/>
          <w:szCs w:val="28"/>
          <w:lang w:bidi="hi-IN" w:eastAsia="hi-IN"/>
        </w:rPr>
        <w:t xml:space="preserve">Мена</w:t>
      </w:r>
      <w:r>
        <w:rPr>
          <w:color w:val="000000"/>
          <w:sz w:val="28"/>
          <w:szCs w:val="28"/>
          <w:lang w:bidi="hi-IN" w:eastAsia="hi-IN"/>
        </w:rPr>
        <w:tab/>
        <w:t xml:space="preserve">№ 247</w:t>
      </w:r>
      <w:r>
        <w:rPr>
          <w:sz w:val="28"/>
        </w:rPr>
      </w:r>
    </w:p>
    <w:p>
      <w:pPr>
        <w:pStyle w:val="831"/>
        <w:ind w:right="5528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pStyle w:val="831"/>
        <w:ind w:right="-82"/>
        <w:jc w:val="both"/>
        <w:rPr>
          <w:b/>
          <w:sz w:val="28"/>
          <w:szCs w:val="16"/>
        </w:rPr>
      </w:pPr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sz w:val="28"/>
        </w:rPr>
      </w:r>
    </w:p>
    <w:p>
      <w:pPr>
        <w:pStyle w:val="831"/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pStyle w:val="83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831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32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натурі (на</w:t>
      </w:r>
      <w:r>
        <w:rPr>
          <w:sz w:val="28"/>
          <w:szCs w:val="28"/>
        </w:rPr>
        <w:t xml:space="preserve"> місцевості) земельні частки (паї) власникам сертифікатів на право на земельну частку (пай)  для ведення товарного сільськогосподарського виробництва на території Менської міської територіальної громади:</w:t>
      </w:r>
      <w:r>
        <w:rPr>
          <w:sz w:val="28"/>
        </w:rPr>
      </w:r>
    </w:p>
    <w:p>
      <w:pPr>
        <w:pStyle w:val="831"/>
        <w:ind w:left="567"/>
        <w:jc w:val="both"/>
        <w:rPr>
          <w:sz w:val="28"/>
        </w:rPr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Бірківка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Сушко Катерині Михайлівні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1973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011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Сушко Катерині Михайлівні</w:t>
      </w:r>
      <w:r>
        <w:rPr>
          <w:sz w:val="28"/>
          <w:szCs w:val="28"/>
        </w:rPr>
        <w:tab/>
        <w:t xml:space="preserve">0,9357 га</w:t>
      </w:r>
      <w:r>
        <w:rPr>
          <w:sz w:val="28"/>
          <w:szCs w:val="28"/>
        </w:rPr>
        <w:tab/>
        <w:t xml:space="preserve">7423081500:03:000:0089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Феденко Тетяні Володимирівні</w:t>
        <w:tab/>
        <w:t xml:space="preserve">1,3128 га</w:t>
      </w:r>
      <w:r>
        <w:rPr>
          <w:sz w:val="28"/>
          <w:szCs w:val="28"/>
        </w:rPr>
        <w:tab/>
        <w:t xml:space="preserve">7423081500:03:000:0225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Феденко Тетяні Володимирівні</w:t>
        <w:tab/>
        <w:t xml:space="preserve">1,0632 га</w:t>
      </w:r>
      <w:r>
        <w:rPr>
          <w:sz w:val="28"/>
          <w:szCs w:val="28"/>
        </w:rPr>
        <w:tab/>
        <w:t xml:space="preserve">7423081500:04:000:1014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1"/>
        <w:ind w:left="567"/>
        <w:jc w:val="both"/>
        <w:rPr>
          <w:sz w:val="28"/>
        </w:rPr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Городище: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</w:rPr>
      </w:pPr>
      <w:r>
        <w:rPr>
          <w:sz w:val="28"/>
          <w:szCs w:val="28"/>
        </w:rPr>
        <w:t xml:space="preserve">Людному </w:t>
      </w:r>
      <w:r>
        <w:rPr>
          <w:sz w:val="28"/>
          <w:szCs w:val="28"/>
        </w:rPr>
        <w:t xml:space="preserve">Григорію Григоровичу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3,</w:t>
      </w:r>
      <w:r>
        <w:rPr>
          <w:sz w:val="28"/>
          <w:szCs w:val="28"/>
        </w:rPr>
        <w:t xml:space="preserve">5500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2500:0</w:t>
      </w:r>
      <w:r>
        <w:rPr>
          <w:sz w:val="28"/>
          <w:szCs w:val="28"/>
        </w:rPr>
        <w:t xml:space="preserve">3:000:0</w:t>
      </w:r>
      <w:r>
        <w:rPr>
          <w:sz w:val="28"/>
          <w:szCs w:val="28"/>
          <w:highlight w:val="none"/>
        </w:rPr>
        <w:t xml:space="preserve">107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2"/>
        <w:ind w:left="0" w:firstLine="567"/>
        <w:jc w:val="both"/>
        <w:widowControl w:val="off"/>
        <w:tabs>
          <w:tab w:val="left" w:pos="85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Синявка: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Баглаю </w:t>
      </w:r>
      <w:r>
        <w:rPr>
          <w:sz w:val="28"/>
          <w:szCs w:val="28"/>
        </w:rPr>
        <w:t xml:space="preserve">Миколі Васильовичу</w:t>
        <w:tab/>
      </w:r>
      <w:r>
        <w:rPr>
          <w:sz w:val="28"/>
          <w:szCs w:val="28"/>
        </w:rPr>
        <w:t xml:space="preserve">5,</w:t>
      </w:r>
      <w:r>
        <w:rPr>
          <w:sz w:val="28"/>
          <w:szCs w:val="28"/>
        </w:rPr>
        <w:t xml:space="preserve">3868 га</w:t>
        <w:tab/>
      </w:r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8000:0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  <w:highlight w:val="none"/>
        </w:rPr>
        <w:t xml:space="preserve">124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1"/>
        <w:ind w:left="567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highlight w:val="none"/>
        </w:rPr>
      </w:pPr>
      <w:r>
        <w:rPr>
          <w:sz w:val="28"/>
          <w:szCs w:val="28"/>
        </w:rPr>
        <w:t xml:space="preserve">Філоненко </w:t>
      </w:r>
      <w:r>
        <w:rPr>
          <w:sz w:val="28"/>
          <w:szCs w:val="28"/>
        </w:rPr>
        <w:t xml:space="preserve">Тетяні Семенівні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4714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5:000:0</w:t>
      </w:r>
      <w:r>
        <w:rPr>
          <w:sz w:val="28"/>
          <w:szCs w:val="28"/>
        </w:rPr>
        <w:t xml:space="preserve">419</w:t>
      </w:r>
      <w:r>
        <w:rPr>
          <w:sz w:val="28"/>
        </w:rPr>
      </w:r>
    </w:p>
    <w:p>
      <w:pPr>
        <w:pStyle w:val="832"/>
        <w:numPr>
          <w:ilvl w:val="0"/>
          <w:numId w:val="2"/>
        </w:numPr>
        <w:ind w:left="0" w:firstLine="360"/>
        <w:jc w:val="both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Філоненко </w:t>
      </w:r>
      <w:r>
        <w:rPr>
          <w:sz w:val="28"/>
          <w:szCs w:val="28"/>
        </w:rPr>
        <w:t xml:space="preserve">Тетяні Семенівні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4172 га</w:t>
      </w:r>
      <w:r>
        <w:rPr>
          <w:sz w:val="28"/>
          <w:szCs w:val="28"/>
        </w:rPr>
        <w:tab/>
        <w:t xml:space="preserve">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000:0</w:t>
      </w:r>
      <w:r>
        <w:rPr>
          <w:sz w:val="28"/>
          <w:szCs w:val="28"/>
        </w:rPr>
        <w:t xml:space="preserve">3:000:0</w:t>
      </w:r>
      <w:r>
        <w:rPr>
          <w:sz w:val="28"/>
          <w:szCs w:val="28"/>
          <w:highlight w:val="none"/>
        </w:rPr>
        <w:t xml:space="preserve">113</w:t>
      </w:r>
      <w:r>
        <w:rPr>
          <w:sz w:val="28"/>
          <w:szCs w:val="28"/>
          <w:highlight w:val="none"/>
        </w:rPr>
      </w:r>
      <w:r>
        <w:rPr>
          <w:sz w:val="28"/>
        </w:rPr>
      </w:r>
    </w:p>
    <w:p>
      <w:pPr>
        <w:pStyle w:val="832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</w:rPr>
      </w:pPr>
      <w:r>
        <w:rPr>
          <w:sz w:val="28"/>
          <w:szCs w:val="28"/>
        </w:rPr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32"/>
        <w:ind w:left="0" w:firstLine="709"/>
        <w:jc w:val="left"/>
        <w:widowControl w:val="off"/>
        <w:tabs>
          <w:tab w:val="left" w:pos="229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  <w:tab/>
      </w:r>
      <w:r>
        <w:rPr>
          <w:sz w:val="28"/>
        </w:rPr>
      </w:r>
    </w:p>
    <w:p>
      <w:pPr>
        <w:pStyle w:val="832"/>
        <w:ind w:left="0"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831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Міський голова</w:t>
        <w:tab/>
      </w:r>
      <w:r>
        <w:rPr>
          <w:sz w:val="28"/>
          <w:szCs w:val="28"/>
          <w:lang w:eastAsia="uk-UA"/>
        </w:rPr>
        <w:t xml:space="preserve">Геннадій ПРИМАКОВ</w:t>
      </w: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7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6"/>
    <w:next w:val="826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7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6"/>
    <w:next w:val="826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7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6"/>
    <w:next w:val="826"/>
    <w:link w:val="6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7">
    <w:name w:val="Heading 4 Char"/>
    <w:basedOn w:val="827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9">
    <w:name w:val="Heading 5 Char"/>
    <w:basedOn w:val="827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1">
    <w:name w:val="Heading 6 Char"/>
    <w:basedOn w:val="827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3">
    <w:name w:val="Heading 7 Char"/>
    <w:basedOn w:val="827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5">
    <w:name w:val="Heading 8 Char"/>
    <w:basedOn w:val="827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>
    <w:name w:val="Heading 9 Char"/>
    <w:basedOn w:val="82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7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7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7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>
    <w:name w:val="No Spacing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31" w:customStyle="1">
    <w:name w:val="List Paragraph Char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32">
    <w:name w:val="List Paragraph"/>
    <w:basedOn w:val="831"/>
    <w:qFormat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СТАЛЬНИЧЕНКО Юрій Валерійович</cp:lastModifiedBy>
  <cp:revision>13</cp:revision>
  <dcterms:created xsi:type="dcterms:W3CDTF">2022-06-15T07:46:00Z</dcterms:created>
  <dcterms:modified xsi:type="dcterms:W3CDTF">2022-07-24T15:31:17Z</dcterms:modified>
</cp:coreProperties>
</file>