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ind w:left="5669"/>
        <w:rPr>
          <w:rFonts w:eastAsia="Times New Roman"/>
          <w:bCs/>
          <w:sz w:val="28"/>
          <w:szCs w:val="28"/>
          <w:lang w:val="uk-UA"/>
        </w:rPr>
      </w:pPr>
      <w:r/>
      <w:bookmarkStart w:id="0" w:name="_Hlk92869403"/>
      <w:r>
        <w:rPr>
          <w:rFonts w:eastAsia="Times New Roman"/>
          <w:bCs/>
          <w:sz w:val="28"/>
          <w:szCs w:val="28"/>
          <w:lang w:val="uk-UA"/>
        </w:rPr>
        <w:t xml:space="preserve">Додаток</w:t>
      </w:r>
      <w:r/>
    </w:p>
    <w:p>
      <w:pPr>
        <w:pStyle w:val="897"/>
        <w:ind w:left="5669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до рішення </w:t>
      </w:r>
      <w:r>
        <w:rPr>
          <w:rFonts w:eastAsia="Times New Roman"/>
          <w:bCs/>
          <w:sz w:val="28"/>
          <w:szCs w:val="28"/>
          <w:lang w:val="uk-UA"/>
        </w:rPr>
        <w:t xml:space="preserve">21</w:t>
      </w:r>
      <w:r>
        <w:rPr>
          <w:rFonts w:eastAsia="Times New Roman"/>
          <w:bCs/>
          <w:sz w:val="28"/>
          <w:szCs w:val="28"/>
          <w:lang w:val="uk-UA"/>
        </w:rPr>
        <w:t xml:space="preserve"> сесії Менської міської ради 8 скликання</w:t>
      </w:r>
      <w:r/>
    </w:p>
    <w:p>
      <w:pPr>
        <w:pStyle w:val="897"/>
        <w:ind w:left="566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22 липня</w:t>
      </w:r>
      <w:r>
        <w:rPr>
          <w:rFonts w:eastAsia="Times New Roman"/>
          <w:bCs/>
          <w:sz w:val="28"/>
          <w:szCs w:val="28"/>
          <w:lang w:val="uk-UA"/>
        </w:rPr>
        <w:t xml:space="preserve"> 2022 року №</w:t>
      </w:r>
      <w:r>
        <w:rPr>
          <w:rFonts w:eastAsia="Times New Roman"/>
          <w:sz w:val="28"/>
        </w:rPr>
        <w:t xml:space="preserve"> </w:t>
      </w:r>
      <w:bookmarkEnd w:id="0"/>
      <w:r>
        <w:rPr>
          <w:sz w:val="28"/>
        </w:rPr>
        <w:t xml:space="preserve">237</w:t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ПОРЯДОК</w:t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надання гуманітарної допомоги </w:t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в Менській міській територіальній громаді</w:t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  <w:lang w:val="uk-UA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в період дії воєнного стану</w:t>
      </w:r>
      <w:r/>
    </w:p>
    <w:p>
      <w:pPr>
        <w:pStyle w:val="897"/>
        <w:jc w:val="center"/>
        <w:rPr>
          <w:rFonts w:eastAsia="Times New Roman"/>
          <w:bCs/>
          <w:sz w:val="28"/>
          <w:szCs w:val="32"/>
        </w:rPr>
      </w:pPr>
      <w:r>
        <w:rPr>
          <w:rFonts w:eastAsia="Times New Roman"/>
          <w:bCs/>
          <w:sz w:val="28"/>
          <w:szCs w:val="32"/>
          <w:lang w:val="uk-UA"/>
        </w:rPr>
        <w:t xml:space="preserve">(нова редакція)</w:t>
      </w:r>
      <w:r/>
    </w:p>
    <w:p>
      <w:pPr>
        <w:rPr>
          <w:b/>
          <w:sz w:val="28"/>
          <w:szCs w:val="32"/>
        </w:rPr>
      </w:pPr>
      <w:r>
        <w:rPr>
          <w:b/>
          <w:bCs/>
          <w:sz w:val="28"/>
          <w:szCs w:val="32"/>
          <w:lang w:val="uk-UA"/>
        </w:rPr>
        <w:br w:type="page"/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  <w:lang w:val="uk-UA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1.Загальні положення.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Цей Порядок визначає механізм обліку, розподілу і видачі гуманітарної (благодійної)  та іншої допомоги (далі – гуманітарна допомога) у Менській міській територіальній громаді в період дії воєнного стану.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2.</w:t>
      </w:r>
      <w:bookmarkStart w:id="1" w:name="n10"/>
      <w:r/>
      <w:bookmarkEnd w:id="1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цьому Порядку термін «гуманітарна допомога» вживається у значенні, </w:t>
      </w:r>
      <w:r>
        <w:rPr>
          <w:sz w:val="28"/>
          <w:szCs w:val="28"/>
          <w:lang w:val="uk-UA" w:eastAsia="ru-RU"/>
        </w:rPr>
        <w:t xml:space="preserve">наведеному в Законах України «Про гуманітарну допомогу», «Про благодійну діяльність та благодійні організації», «Про громадські об’єднання» та інших законодавчих актах щодо надання благодійних пожертв, гуманітарної допомоги, грантів та дарунків тощо.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Гуманітарна допомога є різновидом благодійництва і має спрямовуватися відповідно до обставин, об’єктивних потреб, згоди її </w:t>
      </w:r>
      <w:r>
        <w:rPr>
          <w:sz w:val="28"/>
          <w:szCs w:val="28"/>
          <w:shd w:val="clear" w:fill="FFFFFF" w:color="auto"/>
          <w:lang w:val="uk-UA"/>
        </w:rPr>
        <w:t xml:space="preserve">отримувачів</w:t>
      </w:r>
      <w:r>
        <w:rPr>
          <w:sz w:val="28"/>
          <w:szCs w:val="28"/>
          <w:shd w:val="clear" w:fill="FFFFFF" w:color="auto"/>
          <w:lang w:val="uk-UA"/>
        </w:rPr>
        <w:t xml:space="preserve"> та за умови дотримання вимог</w:t>
      </w:r>
      <w:r>
        <w:rPr>
          <w:sz w:val="28"/>
          <w:szCs w:val="28"/>
          <w:shd w:val="clear" w:fill="FFFFFF" w:color="auto"/>
        </w:rPr>
        <w:t xml:space="preserve"> </w:t>
      </w:r>
      <w:hyperlink r:id="rId15" w:tooltip="https://zakon.rada.gov.ua/laws/show/5073-17#n19" w:anchor="n19" w:history="1">
        <w:r>
          <w:rPr>
            <w:rStyle w:val="916"/>
            <w:rFonts w:eastAsia="Arial"/>
            <w:color w:val="auto"/>
            <w:sz w:val="28"/>
            <w:szCs w:val="28"/>
            <w:u w:val="none"/>
            <w:shd w:val="clear" w:fill="FFFFFF" w:color="auto"/>
            <w:lang w:val="uk-UA"/>
          </w:rPr>
          <w:t xml:space="preserve">статті 3</w:t>
        </w:r>
      </w:hyperlink>
      <w:r>
        <w:rPr>
          <w:sz w:val="28"/>
          <w:szCs w:val="28"/>
          <w:shd w:val="clear" w:fill="FFFFFF" w:color="auto"/>
        </w:rPr>
        <w:t xml:space="preserve"> 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</w:t>
      </w:r>
      <w:r>
        <w:rPr>
          <w:sz w:val="28"/>
          <w:szCs w:val="28"/>
          <w:lang w:val="uk-UA" w:eastAsia="ru-RU"/>
        </w:rPr>
        <w:t xml:space="preserve">«</w:t>
      </w:r>
      <w:r>
        <w:rPr>
          <w:sz w:val="28"/>
          <w:szCs w:val="28"/>
          <w:shd w:val="clear" w:fill="FFFFFF" w:color="auto"/>
          <w:lang w:val="uk-UA"/>
        </w:rPr>
        <w:t xml:space="preserve">Про благодійну діяльність та благодійні організації</w:t>
      </w:r>
      <w:r>
        <w:rPr>
          <w:sz w:val="28"/>
          <w:szCs w:val="28"/>
          <w:lang w:val="uk-UA" w:eastAsia="ru-RU"/>
        </w:rPr>
        <w:t xml:space="preserve">»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</w:t>
      </w:r>
      <w:r>
        <w:rPr>
          <w:sz w:val="28"/>
          <w:szCs w:val="28"/>
          <w:lang w:val="uk-UA"/>
        </w:rPr>
        <w:t xml:space="preserve">рна допомога це – продукти,  ліки, товари для особистої гігієни (в т.ч. дитячої), та інші товари, що безоплатно надходять до Менської міської ради від благодійних організацій, громадських організацій, благодійників, меценатів,  місцевих товаровиробників, в</w:t>
      </w:r>
      <w:r>
        <w:rPr>
          <w:sz w:val="28"/>
          <w:szCs w:val="28"/>
          <w:lang w:val="uk-UA"/>
        </w:rPr>
        <w:t xml:space="preserve">олон</w:t>
      </w:r>
      <w:r>
        <w:rPr>
          <w:sz w:val="28"/>
          <w:szCs w:val="28"/>
          <w:lang w:val="uk-UA"/>
        </w:rPr>
        <w:t xml:space="preserve">терських центрів тощо, а також придбаються за рахунок коштів місцевого бюджету для подальшого безкоштовного розподілу між закладами і установами  громади та видачі жителям Менської міської територіальної громади, а  також  іншим особам, які її потребують. 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Також до поняття «гуманітарна допомога» у контексті даного Порядку включається облаштування за кошти місцевого бюджету місць розміщення громадян, які у зв’язку з бойовими діями, у т.ч. і  в умовах воєнного стану,  залишили місце свого проживання.</w:t>
      </w:r>
      <w:r/>
    </w:p>
    <w:p>
      <w:pPr>
        <w:ind w:firstLine="567"/>
        <w:jc w:val="both"/>
        <w:shd w:val="clear" w:fill="FFFFFF" w:color="auto"/>
        <w:rPr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 w:eastAsia="ru-RU"/>
        </w:rPr>
        <w:t xml:space="preserve">3. Гуманітарна допомога в контексті цього Порядку характеризується:</w:t>
      </w:r>
      <w:r/>
    </w:p>
    <w:p>
      <w:pPr>
        <w:jc w:val="both"/>
        <w:shd w:val="clear" w:fill="FFFFFF" w:color="auto"/>
        <w:rPr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 w:eastAsia="ru-RU"/>
        </w:rPr>
        <w:t xml:space="preserve">– безкорисливістю з боку надавача і </w:t>
      </w:r>
      <w:r>
        <w:rPr>
          <w:sz w:val="28"/>
          <w:szCs w:val="28"/>
          <w:lang w:val="uk-UA" w:eastAsia="ru-RU"/>
        </w:rPr>
        <w:t xml:space="preserve">отримувача</w:t>
      </w:r>
      <w:r>
        <w:rPr>
          <w:sz w:val="28"/>
          <w:szCs w:val="28"/>
          <w:lang w:val="uk-UA" w:eastAsia="ru-RU"/>
        </w:rPr>
        <w:t xml:space="preserve">, що свідчить про надання допомоги на благо інших без будь якої вигоди;</w:t>
      </w:r>
      <w:r/>
    </w:p>
    <w:p>
      <w:pPr>
        <w:jc w:val="both"/>
        <w:shd w:val="clear" w:fill="FFFFFF" w:color="auto"/>
        <w:rPr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 w:eastAsia="ru-RU"/>
        </w:rPr>
        <w:t xml:space="preserve">– добровільністю – діяльність, яку проводять за вільним волевиявленням благодійника, без будь якого примусу та втручання з боку суб’єктів владних повноважень;</w:t>
      </w:r>
      <w:r/>
    </w:p>
    <w:p>
      <w:pPr>
        <w:jc w:val="both"/>
        <w:shd w:val="clear" w:fill="FFFFFF" w:color="auto"/>
        <w:rPr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 w:eastAsia="ru-RU"/>
        </w:rPr>
        <w:t xml:space="preserve">– цільовою спрямованістю – наявність конкретної мети, в межах напрямів і порядку, встановлених Законом України «Про благодійну діяльність та благодійні організації».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</w:t>
      </w:r>
      <w:bookmarkStart w:id="2" w:name="n11"/>
      <w:r/>
      <w:bookmarkEnd w:id="2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Отримувачем</w:t>
      </w:r>
      <w:r>
        <w:rPr>
          <w:sz w:val="28"/>
          <w:szCs w:val="28"/>
          <w:lang w:val="uk-UA"/>
        </w:rPr>
        <w:t xml:space="preserve"> гуманітарної допомоги (далі - допомога) є Менська міська рада та/або підприємство, установа, організація, заклад Менської міської ради.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" w:name="n12"/>
      <w:r/>
      <w:bookmarkStart w:id="4" w:name="n13"/>
      <w:r/>
      <w:bookmarkEnd w:id="3"/>
      <w:r/>
      <w:bookmarkEnd w:id="4"/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Облік, розподіл та видача допомоги здійснюється </w:t>
      </w:r>
      <w:r>
        <w:rPr>
          <w:sz w:val="28"/>
          <w:szCs w:val="28"/>
          <w:lang w:val="uk-UA"/>
        </w:rPr>
        <w:t xml:space="preserve">колегіальним органом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ий</w:t>
      </w:r>
      <w:r>
        <w:rPr>
          <w:sz w:val="28"/>
          <w:szCs w:val="28"/>
          <w:lang w:val="uk-UA"/>
        </w:rPr>
        <w:t xml:space="preserve"> створюється розпорядженням міського голови</w:t>
      </w:r>
      <w:r>
        <w:rPr>
          <w:sz w:val="28"/>
          <w:szCs w:val="28"/>
          <w:lang w:val="uk-UA"/>
        </w:rPr>
        <w:t xml:space="preserve"> (робоча група, гуманітарний штаб тощо)</w:t>
      </w:r>
      <w:r>
        <w:rPr>
          <w:sz w:val="28"/>
          <w:szCs w:val="28"/>
          <w:lang w:val="uk-UA"/>
        </w:rPr>
        <w:t xml:space="preserve">, структурним підрозділом міської ради або одним з комунальних закладів міської 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З метою підвищення ефективності та сприяння відкритості і прозорості процесу розподілу допомоги можуть залучатися представники благодійних, волонтерських та інших громадських організацій; відповідна інформація розміщується на офіційній </w:t>
      </w:r>
      <w:r>
        <w:rPr>
          <w:sz w:val="28"/>
          <w:szCs w:val="28"/>
          <w:lang w:val="uk-UA"/>
        </w:rPr>
        <w:t xml:space="preserve">інтернет-сторінці</w:t>
      </w:r>
      <w:r>
        <w:rPr>
          <w:sz w:val="28"/>
          <w:szCs w:val="28"/>
          <w:lang w:val="uk-UA"/>
        </w:rPr>
        <w:t xml:space="preserve"> міської ради, в засобах масової інформації, соціальних мережах тощо.</w:t>
      </w:r>
      <w:bookmarkStart w:id="5" w:name="n14"/>
      <w:r/>
      <w:bookmarkEnd w:id="5"/>
      <w:r/>
      <w:r/>
    </w:p>
    <w:p>
      <w:pPr>
        <w:ind w:firstLine="567"/>
        <w:jc w:val="both"/>
        <w:shd w:val="clear" w:fill="FFFFFF" w:color="auto"/>
        <w:rPr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 w:eastAsia="ru-RU"/>
        </w:rPr>
        <w:t xml:space="preserve">6.</w:t>
      </w:r>
      <w:r>
        <w:rPr>
          <w:sz w:val="28"/>
          <w:szCs w:val="28"/>
          <w:lang w:val="uk-UA" w:eastAsia="ru-RU"/>
        </w:rPr>
        <w:t xml:space="preserve"> Відповідно до постанови Кабінету Міністрів України «Деякі питання отримання, використання, обліку та звітності благодійної допомоги» від 05.03.2022 №202, враховуючи спрощення процедури перетину митного кордону, яке не потребує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val="uk-UA" w:eastAsia="ru-RU"/>
        </w:rPr>
        <w:t xml:space="preserve"> деталізації документації гуманітарної допомоги, яка </w:t>
      </w:r>
      <w:r>
        <w:rPr>
          <w:sz w:val="28"/>
          <w:szCs w:val="28"/>
          <w:lang w:val="uk-UA" w:eastAsia="ru-RU"/>
        </w:rPr>
        <w:t xml:space="preserve">ввозиться на територію України з інших держав, а також оскільки, отримана під час воєнного стану гуманітарна допомога від донорів, не використовується задля організації основної діяльності органів місцевого самоврядування </w:t>
      </w:r>
      <w:r>
        <w:rPr>
          <w:sz w:val="28"/>
          <w:szCs w:val="28"/>
          <w:lang w:val="uk-UA" w:eastAsia="ru-RU"/>
        </w:rPr>
        <w:t xml:space="preserve">Менської</w:t>
      </w:r>
      <w:r>
        <w:rPr>
          <w:sz w:val="28"/>
          <w:szCs w:val="28"/>
          <w:lang w:val="uk-UA" w:eastAsia="ru-RU"/>
        </w:rPr>
        <w:t xml:space="preserve"> міської територіальної громади, їх </w:t>
      </w:r>
      <w:r>
        <w:rPr>
          <w:sz w:val="28"/>
          <w:szCs w:val="28"/>
          <w:lang w:val="uk-UA" w:eastAsia="ru-RU"/>
        </w:rPr>
        <w:t xml:space="preserve">структурних підрозділів та комунальних установ</w:t>
      </w:r>
      <w:r>
        <w:rPr>
          <w:sz w:val="28"/>
          <w:szCs w:val="28"/>
          <w:lang w:val="uk-UA" w:eastAsia="ru-RU"/>
        </w:rPr>
        <w:t xml:space="preserve">, ними не ведеться її облік в розумінні положень Бюджетного кодексу України, Закону України «Про бухгалтерський облік».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.Допомога, яка отримується  отримується з метою подальшої її передачі відповідним категоріям населення,  облік гуманітарної допомоги проводиться автономно, окремо від загального обліку міської ради/закладу,</w:t>
      </w:r>
      <w:r>
        <w:rPr>
          <w:sz w:val="28"/>
          <w:szCs w:val="28"/>
          <w:lang w:val="uk-UA"/>
        </w:rPr>
        <w:t xml:space="preserve">  в т.ч.</w:t>
      </w:r>
      <w:r>
        <w:rPr>
          <w:sz w:val="28"/>
          <w:szCs w:val="28"/>
          <w:lang w:val="uk-UA"/>
        </w:rPr>
        <w:t xml:space="preserve"> із застосуванням </w:t>
      </w:r>
      <w:r>
        <w:rPr>
          <w:sz w:val="28"/>
          <w:szCs w:val="28"/>
          <w:lang w:val="uk-UA"/>
        </w:rPr>
        <w:t xml:space="preserve">журнальної форми </w:t>
      </w:r>
      <w:r>
        <w:rPr>
          <w:sz w:val="28"/>
          <w:szCs w:val="28"/>
          <w:lang w:val="uk-UA"/>
        </w:rPr>
        <w:t xml:space="preserve">обліку або за відомостями. 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.</w:t>
      </w:r>
      <w:r>
        <w:rPr>
          <w:rFonts w:ascii="Helvetica" w:hAnsi="Helvetica" w:cs="Helvetica"/>
          <w:color w:val="404040"/>
          <w:sz w:val="26"/>
          <w:szCs w:val="26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Супроводжуючі документи, якщо вони були передані донорами або перевізниками, які забезпечили достав</w:t>
      </w:r>
      <w:r>
        <w:rPr>
          <w:sz w:val="28"/>
          <w:szCs w:val="28"/>
          <w:lang w:val="uk-UA" w:eastAsia="ru-RU"/>
        </w:rPr>
        <w:t xml:space="preserve">ку</w:t>
      </w:r>
      <w:r>
        <w:rPr>
          <w:sz w:val="28"/>
          <w:szCs w:val="28"/>
          <w:lang w:val="uk-UA" w:eastAsia="ru-RU"/>
        </w:rPr>
        <w:t xml:space="preserve"> гуманітарної допомоги, зберігаються у встановленому законодавством порядку в отримувача.</w:t>
      </w:r>
      <w:r>
        <w:rPr>
          <w:rFonts w:ascii="Helvetica" w:hAnsi="Helvetica" w:cs="Helvetica"/>
          <w:color w:val="404040"/>
          <w:sz w:val="26"/>
          <w:szCs w:val="26"/>
          <w:lang w:val="uk-UA" w:eastAsia="ru-RU"/>
        </w:rPr>
        <w:t xml:space="preserve"> 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відсутності первинних документів  облік ведеться по фактичній наявності предметів та матеріалів, які надійшли, як гуманітарна допомога.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9</w:t>
      </w:r>
      <w:r>
        <w:rPr>
          <w:sz w:val="28"/>
          <w:szCs w:val="28"/>
          <w:shd w:val="clear" w:fill="FFFFFF" w:color="auto"/>
          <w:lang w:val="uk-UA"/>
        </w:rPr>
        <w:t xml:space="preserve">. У разі надходження </w:t>
      </w:r>
      <w:r>
        <w:rPr>
          <w:sz w:val="28"/>
          <w:szCs w:val="28"/>
          <w:shd w:val="clear" w:fill="FFFFFF" w:color="auto"/>
          <w:lang w:val="uk-UA"/>
        </w:rPr>
        <w:t xml:space="preserve">гуманітарної допомоги</w:t>
      </w:r>
      <w:r>
        <w:rPr>
          <w:sz w:val="28"/>
          <w:szCs w:val="28"/>
          <w:shd w:val="clear" w:fill="FFFFFF" w:color="auto"/>
          <w:lang w:val="uk-UA"/>
        </w:rPr>
        <w:t xml:space="preserve"> у вигляді 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лікарських засобів,</w:t>
      </w:r>
      <w:r>
        <w:rPr>
          <w:sz w:val="28"/>
          <w:szCs w:val="28"/>
          <w:shd w:val="clear" w:fill="FFFFFF" w:color="auto"/>
          <w:lang w:val="uk-UA"/>
        </w:rPr>
        <w:t xml:space="preserve"> медичних виробів, витратних матеріалів, медичного обладнання, засобів індивідуального захисту та інших товарів, які сприятимуть підвищенню рівня надання медичних послуг, такі товари</w:t>
      </w:r>
      <w:r>
        <w:rPr>
          <w:sz w:val="28"/>
          <w:szCs w:val="28"/>
          <w:shd w:val="clear" w:fill="FFFFFF" w:color="auto"/>
          <w:lang w:val="uk-UA"/>
        </w:rPr>
        <w:t xml:space="preserve"> безпосередньо передаються для забезпечення потреб населення територіальної громади в сфері охорони здоров’я Комунальному некомерційному підприємству «</w:t>
      </w:r>
      <w:r>
        <w:rPr>
          <w:sz w:val="28"/>
          <w:szCs w:val="28"/>
          <w:shd w:val="clear" w:fill="FFFFFF" w:color="auto"/>
          <w:lang w:val="uk-UA"/>
        </w:rPr>
        <w:t xml:space="preserve">Менська</w:t>
      </w:r>
      <w:r>
        <w:rPr>
          <w:sz w:val="28"/>
          <w:szCs w:val="28"/>
          <w:shd w:val="clear" w:fill="FFFFFF" w:color="auto"/>
          <w:lang w:val="uk-UA"/>
        </w:rPr>
        <w:t xml:space="preserve"> міська лікарня» </w:t>
      </w:r>
      <w:r>
        <w:rPr>
          <w:sz w:val="28"/>
          <w:szCs w:val="28"/>
          <w:shd w:val="clear" w:fill="FFFFFF" w:color="auto"/>
          <w:lang w:val="uk-UA"/>
        </w:rPr>
        <w:t xml:space="preserve">Менської</w:t>
      </w:r>
      <w:r>
        <w:rPr>
          <w:sz w:val="28"/>
          <w:szCs w:val="28"/>
          <w:shd w:val="clear" w:fill="FFFFFF" w:color="auto"/>
          <w:lang w:val="uk-UA"/>
        </w:rPr>
        <w:t xml:space="preserve"> міської ради та Комунальному некомерційному  підприємству «</w:t>
      </w:r>
      <w:r>
        <w:rPr>
          <w:sz w:val="28"/>
          <w:szCs w:val="28"/>
          <w:shd w:val="clear" w:fill="FFFFFF" w:color="auto"/>
          <w:lang w:val="uk-UA"/>
        </w:rPr>
        <w:t xml:space="preserve">Менський</w:t>
      </w:r>
      <w:r>
        <w:rPr>
          <w:sz w:val="28"/>
          <w:szCs w:val="28"/>
          <w:shd w:val="clear" w:fill="FFFFFF" w:color="auto"/>
          <w:lang w:val="uk-UA"/>
        </w:rPr>
        <w:t xml:space="preserve"> центр первинної медико-санітарної допомоги» </w:t>
      </w:r>
      <w:r>
        <w:rPr>
          <w:sz w:val="28"/>
          <w:szCs w:val="28"/>
          <w:shd w:val="clear" w:fill="FFFFFF" w:color="auto"/>
          <w:lang w:val="uk-UA"/>
        </w:rPr>
        <w:t xml:space="preserve">Менської</w:t>
      </w:r>
      <w:r>
        <w:rPr>
          <w:sz w:val="28"/>
          <w:szCs w:val="28"/>
          <w:shd w:val="clear" w:fill="FFFFFF" w:color="auto"/>
          <w:lang w:val="uk-UA"/>
        </w:rPr>
        <w:t xml:space="preserve"> міської ради з подальшим обов’язковим проведенням у встановленому законодавством порядку відповідного обліку.</w:t>
      </w:r>
      <w:r>
        <w:rPr>
          <w:sz w:val="28"/>
          <w:szCs w:val="28"/>
          <w:shd w:val="clear" w:fill="FFFFFF" w:color="auto"/>
        </w:rPr>
        <w:t xml:space="preserve"> 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rFonts w:ascii="Helvetica" w:hAnsi="Helvetica" w:cs="Helvetica"/>
          <w:color w:val="404040"/>
          <w:sz w:val="26"/>
          <w:szCs w:val="26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10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>
        <w:rPr>
          <w:rFonts w:ascii="Helvetica" w:hAnsi="Helvetica" w:cs="Helvetica"/>
          <w:color w:val="404040"/>
          <w:sz w:val="26"/>
          <w:szCs w:val="26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У разі надходження </w:t>
      </w:r>
      <w:r>
        <w:rPr>
          <w:sz w:val="28"/>
          <w:szCs w:val="28"/>
          <w:shd w:val="clear" w:fill="FFFFFF" w:color="auto"/>
          <w:lang w:val="uk-UA"/>
        </w:rPr>
        <w:t xml:space="preserve">гуманітарної допомоги у вигляді </w:t>
      </w:r>
      <w:r>
        <w:rPr>
          <w:sz w:val="28"/>
          <w:szCs w:val="28"/>
          <w:shd w:val="clear" w:fill="FFFFFF" w:color="auto"/>
          <w:lang w:val="uk-UA"/>
        </w:rPr>
        <w:t xml:space="preserve">технічних засобів, пристроїв, обладнання, транспортних засобів, </w:t>
      </w:r>
      <w:r>
        <w:rPr>
          <w:sz w:val="28"/>
          <w:szCs w:val="28"/>
          <w:shd w:val="clear" w:fill="FFFFFF" w:color="auto"/>
          <w:lang w:val="uk-UA"/>
        </w:rPr>
        <w:t xml:space="preserve">речей, миючих засобів, продуктів харчування та </w:t>
      </w:r>
      <w:r>
        <w:rPr>
          <w:sz w:val="28"/>
          <w:szCs w:val="28"/>
          <w:shd w:val="clear" w:fill="FFFFFF" w:color="auto"/>
          <w:lang w:val="uk-UA"/>
        </w:rPr>
        <w:t xml:space="preserve">інших товарів, які сприятимуть ефективності роботи комунальних підприємств</w:t>
      </w:r>
      <w:r>
        <w:rPr>
          <w:sz w:val="28"/>
          <w:szCs w:val="28"/>
          <w:shd w:val="clear" w:fill="FFFFFF" w:color="auto"/>
          <w:lang w:val="uk-UA"/>
        </w:rPr>
        <w:t xml:space="preserve">, установ, закладів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Менської</w:t>
      </w:r>
      <w:r>
        <w:rPr>
          <w:sz w:val="28"/>
          <w:szCs w:val="28"/>
          <w:shd w:val="clear" w:fill="FFFFFF" w:color="auto"/>
          <w:lang w:val="uk-UA"/>
        </w:rPr>
        <w:t xml:space="preserve"> міської територіальної громади, вони безпосередньо  передаються для належного виконання </w:t>
      </w:r>
      <w:r>
        <w:rPr>
          <w:sz w:val="28"/>
          <w:szCs w:val="28"/>
          <w:shd w:val="clear" w:fill="FFFFFF" w:color="auto"/>
          <w:lang w:val="uk-UA"/>
        </w:rPr>
        <w:t xml:space="preserve">статутних </w:t>
      </w:r>
      <w:r>
        <w:rPr>
          <w:sz w:val="28"/>
          <w:szCs w:val="28"/>
          <w:shd w:val="clear" w:fill="FFFFFF" w:color="auto"/>
          <w:lang w:val="uk-UA"/>
        </w:rPr>
        <w:t xml:space="preserve">функцій та завдань </w:t>
      </w:r>
      <w:r>
        <w:rPr>
          <w:sz w:val="28"/>
          <w:szCs w:val="28"/>
          <w:shd w:val="clear" w:fill="FFFFFF" w:color="auto"/>
          <w:lang w:val="uk-UA"/>
        </w:rPr>
        <w:t xml:space="preserve">цих комунальних підприємств, установ, закладів</w:t>
      </w:r>
      <w:r>
        <w:rPr>
          <w:sz w:val="28"/>
          <w:szCs w:val="28"/>
          <w:shd w:val="clear" w:fill="FFFFFF" w:color="auto"/>
          <w:lang w:val="uk-UA"/>
        </w:rPr>
        <w:t xml:space="preserve"> з подальшим обов’язковим проведенням у встановленому законодавством порядку відповідного обліку.</w:t>
      </w:r>
      <w:r>
        <w:rPr>
          <w:rFonts w:ascii="Helvetica" w:hAnsi="Helvetica" w:cs="Helvetica"/>
          <w:color w:val="404040"/>
          <w:sz w:val="26"/>
          <w:szCs w:val="26"/>
          <w:shd w:val="clear" w:fill="FFFFFF" w:color="auto"/>
        </w:rPr>
        <w:t xml:space="preserve"> 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В разі відсутності первинних документів, оцінка  отриманої </w:t>
      </w:r>
      <w:r>
        <w:rPr>
          <w:sz w:val="28"/>
          <w:szCs w:val="28"/>
          <w:shd w:val="clear" w:fill="FFFFFF" w:color="auto"/>
          <w:lang w:val="uk-UA"/>
        </w:rPr>
        <w:t xml:space="preserve">гуманітарної допомоги проводиться комунальним </w:t>
      </w:r>
      <w:r>
        <w:rPr>
          <w:sz w:val="28"/>
          <w:szCs w:val="28"/>
          <w:shd w:val="clear" w:fill="FFFFFF" w:color="auto"/>
          <w:lang w:val="uk-UA"/>
        </w:rPr>
        <w:t xml:space="preserve">підприємств</w:t>
      </w:r>
      <w:r>
        <w:rPr>
          <w:sz w:val="28"/>
          <w:szCs w:val="28"/>
          <w:shd w:val="clear" w:fill="FFFFFF" w:color="auto"/>
          <w:lang w:val="uk-UA"/>
        </w:rPr>
        <w:t xml:space="preserve">ом</w:t>
      </w:r>
      <w:r>
        <w:rPr>
          <w:sz w:val="28"/>
          <w:szCs w:val="28"/>
          <w:shd w:val="clear" w:fill="FFFFFF" w:color="auto"/>
          <w:lang w:val="uk-UA"/>
        </w:rPr>
        <w:t xml:space="preserve">, установ</w:t>
      </w:r>
      <w:r>
        <w:rPr>
          <w:sz w:val="28"/>
          <w:szCs w:val="28"/>
          <w:shd w:val="clear" w:fill="FFFFFF" w:color="auto"/>
          <w:lang w:val="uk-UA"/>
        </w:rPr>
        <w:t xml:space="preserve">ою</w:t>
      </w:r>
      <w:r>
        <w:rPr>
          <w:sz w:val="28"/>
          <w:szCs w:val="28"/>
          <w:shd w:val="clear" w:fill="FFFFFF" w:color="auto"/>
          <w:lang w:val="uk-UA"/>
        </w:rPr>
        <w:t xml:space="preserve">, заклад</w:t>
      </w:r>
      <w:r>
        <w:rPr>
          <w:sz w:val="28"/>
          <w:szCs w:val="28"/>
          <w:shd w:val="clear" w:fill="FFFFFF" w:color="auto"/>
          <w:lang w:val="uk-UA"/>
        </w:rPr>
        <w:t xml:space="preserve">ом комісійно на підставі середньо визначених цін по Україні. При надходженні товарів, що були у користуванні,  враховується рівень їх зносу.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Гуманітарна допомога для її передачі безпосереднім набувачам, </w:t>
      </w:r>
      <w:r>
        <w:rPr>
          <w:sz w:val="28"/>
          <w:szCs w:val="28"/>
          <w:lang w:val="uk-UA"/>
        </w:rPr>
        <w:t xml:space="preserve">за рішенням колегіального органу, що створений розпорядженням міського голови, надається: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безпосереднім набувачам, згідно визначених даним Порядком категорій;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структурним підрозділам міської ради або комунальним підприємствам, установам, організаціям, закладам, які здійснюють безпосередню видачу допомоги її набувачам.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Видача допомоги здійснюється безкоштовно, з врахуванням обсягу та в межах отриманої гуманітарної допомоги, з урахуванням потреб наступним категоріям набувачів, що проживають на території Менської міської територіальної громади: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- о</w:t>
      </w:r>
      <w:r>
        <w:rPr>
          <w:sz w:val="28"/>
          <w:szCs w:val="28"/>
          <w:lang w:val="uk-UA"/>
        </w:rPr>
        <w:t xml:space="preserve">собам, які вимушено переселилися та територію громади із зони бойових дій чи окупованих територій України;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lang w:val="uk-UA"/>
        </w:rPr>
        <w:t xml:space="preserve">- особам, які опинилися в складних життєвих обставинах внаслідок бойових дій, у т.ч. через затримки із виплатою заробітних плат,  пенсій та соціальних </w:t>
      </w:r>
      <w:r>
        <w:rPr>
          <w:sz w:val="28"/>
          <w:szCs w:val="28"/>
          <w:lang w:val="uk-UA"/>
        </w:rPr>
        <w:t xml:space="preserve">допомог</w:t>
      </w:r>
      <w:r>
        <w:rPr>
          <w:sz w:val="28"/>
          <w:szCs w:val="28"/>
          <w:lang w:val="uk-UA"/>
        </w:rPr>
        <w:t xml:space="preserve">, втратою роботи та іншими обставинами;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- сім’ям, які мають дітей (в пріоритеті - багатодітні сім’ї, прийомні сім’ї, опікунські сім’ї тощо);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lang w:val="uk-UA"/>
        </w:rPr>
        <w:t xml:space="preserve">- хворим особам, які потребують забезпечення лікарськими засобами;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особам </w:t>
      </w:r>
      <w:r>
        <w:rPr>
          <w:sz w:val="28"/>
          <w:szCs w:val="28"/>
          <w:highlight w:val="none"/>
          <w:lang w:val="uk-UA"/>
        </w:rPr>
        <w:t xml:space="preserve">з інвалідністю;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- сім’ям військовослужбовців, які перебувають у зоні бойових дій;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- сім’ям загиблих внаслідок бойових дій;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- іншим категоріям осіб, що опинились у складних життєвих обставинах (за окремим</w:t>
      </w:r>
      <w:r>
        <w:rPr>
          <w:sz w:val="28"/>
          <w:szCs w:val="28"/>
          <w:lang w:val="uk-UA"/>
        </w:rPr>
        <w:t xml:space="preserve"> визначенням колегіального органу міської ради або закладу (Отримувача).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Гуманітарна допомога, отримана Менською міською радо</w:t>
      </w:r>
      <w:r>
        <w:rPr>
          <w:sz w:val="28"/>
          <w:szCs w:val="28"/>
          <w:lang w:val="uk-UA"/>
        </w:rPr>
        <w:t xml:space="preserve">ю, також може бути надана для потреб військових формувань та формувань територіальної оборони, військовослужбовцям з громади, які несуть службу у інших регіонах і потребують підтримки,  громадським формуванням, які забезпечують правопорядок на території гр</w:t>
      </w:r>
      <w:r>
        <w:rPr>
          <w:sz w:val="28"/>
          <w:szCs w:val="28"/>
          <w:lang w:val="uk-UA"/>
        </w:rPr>
        <w:t xml:space="preserve">омади, а також - іншим територіальним громадам, які перебувають в зоні бойових дій, в окупації або в яких виникла складна гуманітарна ситуація внаслідок бойових дій. 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Під час видачі гуманітарної допомоги ведуться списки її набувачів  та/або накладні про видачу допомоги, в яких зазначаються: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прі</w:t>
      </w:r>
      <w:r>
        <w:rPr>
          <w:sz w:val="28"/>
          <w:szCs w:val="28"/>
          <w:lang w:val="uk-UA"/>
        </w:rPr>
        <w:t xml:space="preserve">звище, </w:t>
      </w:r>
      <w:r>
        <w:rPr>
          <w:sz w:val="28"/>
          <w:szCs w:val="28"/>
          <w:lang w:val="uk-UA"/>
        </w:rPr>
        <w:t xml:space="preserve">ім</w:t>
      </w:r>
      <w:r>
        <w:rPr>
          <w:sz w:val="28"/>
          <w:szCs w:val="28"/>
          <w:lang w:val="uk-UA"/>
        </w:rPr>
        <w:t xml:space="preserve">’я особи, якій надано допомогу;</w:t>
      </w:r>
      <w:r>
        <w:rPr>
          <w:sz w:val="28"/>
          <w:lang w:val="uk-UA"/>
        </w:rPr>
      </w:r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адреса місця фактичного проживання та/або інша контактна інформація;</w:t>
      </w:r>
      <w:r>
        <w:rPr>
          <w:sz w:val="28"/>
          <w:lang w:val="uk-UA"/>
        </w:rPr>
      </w:r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підпис особи, яка отримує допомогу, або її законного представника;</w:t>
      </w:r>
      <w:r>
        <w:rPr>
          <w:sz w:val="28"/>
          <w:lang w:val="uk-UA"/>
        </w:rPr>
      </w:r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підпис старости старостинського округу – в разі передачі допомоги жителям старостинського округу через старосту</w:t>
      </w:r>
      <w:r>
        <w:rPr>
          <w:sz w:val="28"/>
          <w:lang w:val="uk-UA"/>
        </w:rPr>
      </w:r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</w:t>
      </w:r>
      <w:r>
        <w:rPr>
          <w:sz w:val="28"/>
          <w:szCs w:val="28"/>
          <w:lang w:val="uk-UA"/>
        </w:rPr>
        <w:t xml:space="preserve">ші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 відомості, які ідентифікують набувача або підтверджують передачу допомоги.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отримання допомоги безпосередньо набувачем, ним пред’являється документ, що посвідчує особу та документ, який підтверджує його статус.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1</w:t>
      </w:r>
      <w:r>
        <w:rPr>
          <w:sz w:val="28"/>
          <w:szCs w:val="28"/>
          <w:shd w:val="clear" w:fill="FFFFFF" w:color="auto"/>
          <w:lang w:val="uk-UA"/>
        </w:rPr>
        <w:t xml:space="preserve">5</w:t>
      </w:r>
      <w:r>
        <w:rPr>
          <w:sz w:val="28"/>
          <w:szCs w:val="28"/>
          <w:shd w:val="clear" w:fill="FFFFFF" w:color="auto"/>
          <w:lang w:val="uk-UA"/>
        </w:rPr>
        <w:t xml:space="preserve">. </w:t>
      </w:r>
      <w:r>
        <w:rPr>
          <w:sz w:val="28"/>
          <w:szCs w:val="28"/>
          <w:shd w:val="clear" w:fill="FFFFFF" w:color="auto"/>
          <w:lang w:val="uk-UA"/>
        </w:rPr>
        <w:t xml:space="preserve">Гуманітарна допомога також може бути використана для формування запасу для потреб Менської міської територіальної громади в умовах воєнного стану в Україні.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разі наявності нерозподілених  залишків допомоги на момент закінчення воєнного стану, вони передаються до комунальних закладів, установ та підприємств міської ради для використання при виконані ними статутних завдань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14"/>
          <w:szCs w:val="28"/>
        </w:rPr>
      </w:pPr>
      <w:r>
        <w:rPr>
          <w:sz w:val="14"/>
          <w:szCs w:val="28"/>
        </w:rPr>
      </w:r>
      <w:r>
        <w:rPr>
          <w:sz w:val="14"/>
          <w:szCs w:val="28"/>
        </w:rPr>
      </w:r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Заступник начальнику</w:t>
      </w:r>
      <w:r/>
    </w:p>
    <w:p>
      <w:pPr>
        <w:pStyle w:val="907"/>
        <w:ind w:firstLine="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юридичного відділу</w:t>
        <w:tab/>
        <w:t xml:space="preserve">Тетяна МАРЦЕВА</w:t>
      </w:r>
      <w:r>
        <w:rPr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284" w:footer="3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right"/>
      <w:tabs>
        <w:tab w:val="center" w:pos="3827" w:leader="none"/>
        <w:tab w:val="clear" w:pos="4819" w:leader="none"/>
        <w:tab w:val="clear" w:pos="9639" w:leader="none"/>
      </w:tabs>
      <w:rPr>
        <w:i/>
      </w:rPr>
    </w:pPr>
    <w:r>
      <w:t xml:space="preserve">                                       </w:t>
    </w:r>
    <w:r>
      <w:rPr>
        <w:i/>
      </w:rPr>
      <w:t xml:space="preserve"> </w:t>
    </w: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 xml:space="preserve">продовження</w:t>
    </w:r>
    <w:r>
      <w:rPr>
        <w:i/>
      </w:rPr>
      <w:t xml:space="preserve"> </w:t>
    </w:r>
    <w:r>
      <w:rPr>
        <w:i/>
      </w:rPr>
      <w:t xml:space="preserve">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cs="Times New Roman"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Title Char"/>
    <w:basedOn w:val="721"/>
    <w:link w:val="741"/>
    <w:uiPriority w:val="10"/>
    <w:rPr>
      <w:sz w:val="48"/>
      <w:szCs w:val="48"/>
    </w:rPr>
  </w:style>
  <w:style w:type="character" w:styleId="715">
    <w:name w:val="Subtitle Char"/>
    <w:basedOn w:val="721"/>
    <w:link w:val="743"/>
    <w:uiPriority w:val="11"/>
    <w:rPr>
      <w:sz w:val="24"/>
      <w:szCs w:val="24"/>
    </w:rPr>
  </w:style>
  <w:style w:type="character" w:styleId="716">
    <w:name w:val="Quote Char"/>
    <w:link w:val="745"/>
    <w:uiPriority w:val="29"/>
    <w:rPr>
      <w:i/>
    </w:rPr>
  </w:style>
  <w:style w:type="character" w:styleId="717">
    <w:name w:val="Intense Quote Char"/>
    <w:link w:val="747"/>
    <w:uiPriority w:val="30"/>
    <w:rPr>
      <w:i/>
    </w:rPr>
  </w:style>
  <w:style w:type="character" w:styleId="718">
    <w:name w:val="Footnote Text Char"/>
    <w:link w:val="878"/>
    <w:uiPriority w:val="99"/>
    <w:rPr>
      <w:sz w:val="18"/>
    </w:rPr>
  </w:style>
  <w:style w:type="character" w:styleId="719">
    <w:name w:val="Endnote Text Char"/>
    <w:link w:val="881"/>
    <w:uiPriority w:val="99"/>
    <w:rPr>
      <w:sz w:val="20"/>
    </w:rPr>
  </w:style>
  <w:style w:type="paragraph" w:styleId="720" w:default="1">
    <w:name w:val="Normal"/>
    <w:next w:val="896"/>
    <w:link w:val="896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link w:val="895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Heading 2 Char"/>
    <w:basedOn w:val="721"/>
    <w:link w:val="896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20"/>
    <w:next w:val="720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basedOn w:val="721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20"/>
    <w:next w:val="720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basedOn w:val="721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20"/>
    <w:next w:val="720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basedOn w:val="721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20"/>
    <w:next w:val="720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basedOn w:val="721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20"/>
    <w:next w:val="720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basedOn w:val="721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20"/>
    <w:next w:val="720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basedOn w:val="721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20"/>
    <w:next w:val="720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basedOn w:val="721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720"/>
    <w:next w:val="720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basedOn w:val="721"/>
    <w:link w:val="741"/>
    <w:uiPriority w:val="10"/>
    <w:rPr>
      <w:sz w:val="48"/>
      <w:szCs w:val="48"/>
    </w:rPr>
  </w:style>
  <w:style w:type="paragraph" w:styleId="743">
    <w:name w:val="Subtitle"/>
    <w:basedOn w:val="720"/>
    <w:next w:val="720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basedOn w:val="721"/>
    <w:link w:val="743"/>
    <w:uiPriority w:val="11"/>
    <w:rPr>
      <w:sz w:val="24"/>
      <w:szCs w:val="24"/>
    </w:rPr>
  </w:style>
  <w:style w:type="paragraph" w:styleId="745">
    <w:name w:val="Quote"/>
    <w:basedOn w:val="720"/>
    <w:next w:val="720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20"/>
    <w:next w:val="720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21"/>
    <w:link w:val="902"/>
    <w:uiPriority w:val="99"/>
  </w:style>
  <w:style w:type="character" w:styleId="750" w:customStyle="1">
    <w:name w:val="Footer Char"/>
    <w:basedOn w:val="721"/>
    <w:link w:val="904"/>
    <w:uiPriority w:val="99"/>
  </w:style>
  <w:style w:type="paragraph" w:styleId="751" w:customStyle="1">
    <w:name w:val="Caption"/>
    <w:basedOn w:val="720"/>
    <w:next w:val="72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52" w:customStyle="1">
    <w:name w:val="Caption Char"/>
    <w:link w:val="904"/>
    <w:uiPriority w:val="99"/>
  </w:style>
  <w:style w:type="table" w:styleId="753" w:customStyle="1">
    <w:name w:val="Table Grid Light"/>
    <w:basedOn w:val="72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2" w:customStyle="1">
    <w:name w:val="Grid Table 4 - Accent 2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Grid Table 4 - Accent 3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4" w:customStyle="1">
    <w:name w:val="Grid Table 4 - Accent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Grid Table 4 - Accent 5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6" w:customStyle="1">
    <w:name w:val="Grid Table 4 - Accent 6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7" w:customStyle="1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6" w:customStyle="1">
    <w:name w:val="Grid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7" w:customStyle="1">
    <w:name w:val="Grid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8" w:customStyle="1">
    <w:name w:val="Grid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9" w:customStyle="1">
    <w:name w:val="Grid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 w:customStyle="1">
    <w:name w:val="Grid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 w:customStyle="1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7" w:customStyle="1">
    <w:name w:val="List Table 2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8" w:customStyle="1">
    <w:name w:val="List Table 2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9" w:customStyle="1">
    <w:name w:val="List Table 2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0" w:customStyle="1">
    <w:name w:val="List Table 2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1" w:customStyle="1">
    <w:name w:val="List Table 2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2" w:customStyle="1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5" w:customStyle="1">
    <w:name w:val="List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6" w:customStyle="1">
    <w:name w:val="List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7" w:customStyle="1">
    <w:name w:val="List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8" w:customStyle="1">
    <w:name w:val="List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9" w:customStyle="1">
    <w:name w:val="List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0" w:customStyle="1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9" w:customStyle="1">
    <w:name w:val="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0" w:customStyle="1">
    <w:name w:val="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1" w:customStyle="1">
    <w:name w:val="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2" w:customStyle="1">
    <w:name w:val="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3" w:customStyle="1">
    <w:name w:val="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4" w:customStyle="1">
    <w:name w:val="Bordered &amp; 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6" w:customStyle="1">
    <w:name w:val="Bordered &amp; 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7" w:customStyle="1">
    <w:name w:val="Bordered &amp; 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8" w:customStyle="1">
    <w:name w:val="Bordered &amp; 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9" w:customStyle="1">
    <w:name w:val="Bordered &amp; 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70" w:customStyle="1">
    <w:name w:val="Bordered &amp; 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1" w:customStyle="1">
    <w:name w:val="Bordered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3" w:customStyle="1">
    <w:name w:val="Bordered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4" w:customStyle="1">
    <w:name w:val="Bordered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5" w:customStyle="1">
    <w:name w:val="Bordered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6" w:customStyle="1">
    <w:name w:val="Bordered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7" w:customStyle="1">
    <w:name w:val="Bordered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8">
    <w:name w:val="footnote text"/>
    <w:basedOn w:val="720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21"/>
    <w:uiPriority w:val="99"/>
    <w:unhideWhenUsed/>
    <w:rPr>
      <w:vertAlign w:val="superscript"/>
    </w:rPr>
  </w:style>
  <w:style w:type="paragraph" w:styleId="881">
    <w:name w:val="endnote text"/>
    <w:basedOn w:val="720"/>
    <w:link w:val="882"/>
    <w:uiPriority w:val="99"/>
    <w:semiHidden/>
    <w:unhideWhenUsed/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21"/>
    <w:uiPriority w:val="99"/>
    <w:semiHidden/>
    <w:unhideWhenUsed/>
    <w:rPr>
      <w:vertAlign w:val="superscript"/>
    </w:rPr>
  </w:style>
  <w:style w:type="paragraph" w:styleId="884">
    <w:name w:val="toc 1"/>
    <w:basedOn w:val="720"/>
    <w:next w:val="720"/>
    <w:uiPriority w:val="39"/>
    <w:unhideWhenUsed/>
    <w:pPr>
      <w:spacing w:after="57"/>
    </w:pPr>
  </w:style>
  <w:style w:type="paragraph" w:styleId="885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86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87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88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89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90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1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2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20"/>
    <w:next w:val="720"/>
    <w:uiPriority w:val="99"/>
    <w:unhideWhenUsed/>
  </w:style>
  <w:style w:type="paragraph" w:styleId="895" w:customStyle="1">
    <w:name w:val="Heading 1"/>
    <w:basedOn w:val="720"/>
    <w:link w:val="910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896" w:customStyle="1">
    <w:name w:val="Heading 2"/>
    <w:basedOn w:val="720"/>
    <w:next w:val="720"/>
    <w:link w:val="918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  <w:pPr>
      <w:keepLines/>
      <w:keepNext/>
      <w:spacing w:before="200"/>
      <w:outlineLvl w:val="1"/>
    </w:pPr>
  </w:style>
  <w:style w:type="paragraph" w:styleId="897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98">
    <w:name w:val="List Paragraph"/>
    <w:basedOn w:val="720"/>
    <w:qFormat/>
    <w:uiPriority w:val="34"/>
    <w:rPr>
      <w:rFonts w:asciiTheme="minorHAnsi" w:hAnsiTheme="minorHAnsi" w:eastAsiaTheme="minorHAnsi" w:cstheme="minorBidi"/>
      <w:lang w:eastAsia="en-US"/>
    </w:rPr>
    <w:pPr>
      <w:contextualSpacing w:val="true"/>
      <w:ind w:left="720"/>
    </w:pPr>
  </w:style>
  <w:style w:type="paragraph" w:styleId="899">
    <w:name w:val="Balloon Text"/>
    <w:basedOn w:val="720"/>
    <w:link w:val="90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0" w:customStyle="1">
    <w:name w:val="Текст выноски Знак"/>
    <w:basedOn w:val="721"/>
    <w:link w:val="899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901">
    <w:name w:val="Table Grid"/>
    <w:basedOn w:val="722"/>
    <w:uiPriority w:val="59"/>
    <w:rPr>
      <w:lang w:val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2" w:customStyle="1">
    <w:name w:val="Header"/>
    <w:basedOn w:val="720"/>
    <w:link w:val="90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03" w:customStyle="1">
    <w:name w:val="Верхний колонтитул Знак"/>
    <w:basedOn w:val="721"/>
    <w:link w:val="902"/>
    <w:uiPriority w:val="99"/>
    <w:rPr>
      <w:rFonts w:ascii="Calibri" w:hAnsi="Calibri" w:cs="Times New Roman" w:eastAsia="Times New Roman"/>
      <w:lang w:val="ru-RU" w:eastAsia="ru-RU"/>
    </w:rPr>
  </w:style>
  <w:style w:type="paragraph" w:styleId="904" w:customStyle="1">
    <w:name w:val="Footer"/>
    <w:basedOn w:val="720"/>
    <w:link w:val="90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05" w:customStyle="1">
    <w:name w:val="Нижний колонтитул Знак"/>
    <w:basedOn w:val="721"/>
    <w:link w:val="904"/>
    <w:uiPriority w:val="99"/>
    <w:rPr>
      <w:rFonts w:ascii="Calibri" w:hAnsi="Calibri" w:cs="Times New Roman" w:eastAsia="Times New Roman"/>
      <w:lang w:val="ru-RU" w:eastAsia="ru-RU"/>
    </w:rPr>
  </w:style>
  <w:style w:type="character" w:styleId="906">
    <w:name w:val="Strong"/>
    <w:basedOn w:val="721"/>
    <w:qFormat/>
    <w:uiPriority w:val="22"/>
    <w:rPr>
      <w:b/>
      <w:bCs/>
    </w:rPr>
  </w:style>
  <w:style w:type="paragraph" w:styleId="907" w:customStyle="1">
    <w:name w:val="rvps2"/>
    <w:basedOn w:val="720"/>
    <w:rPr>
      <w:sz w:val="24"/>
      <w:szCs w:val="24"/>
    </w:rPr>
    <w:pPr>
      <w:spacing w:after="100" w:afterAutospacing="1" w:before="100" w:beforeAutospacing="1"/>
    </w:pPr>
  </w:style>
  <w:style w:type="character" w:styleId="908" w:customStyle="1">
    <w:name w:val="Основний текст (2)_"/>
    <w:basedOn w:val="721"/>
    <w:link w:val="909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09" w:customStyle="1">
    <w:name w:val="Основний текст (2)"/>
    <w:basedOn w:val="720"/>
    <w:link w:val="908"/>
    <w:rPr>
      <w:sz w:val="28"/>
      <w:szCs w:val="28"/>
      <w:lang w:val="uk-UA" w:eastAsia="en-US"/>
    </w:rPr>
    <w:pPr>
      <w:jc w:val="both"/>
      <w:spacing w:lineRule="exact" w:line="322" w:after="480" w:before="480"/>
      <w:shd w:val="clear" w:fill="FFFFFF" w:color="auto"/>
      <w:widowControl w:val="off"/>
    </w:pPr>
  </w:style>
  <w:style w:type="character" w:styleId="910" w:customStyle="1">
    <w:name w:val="Заголовок 1 Знак"/>
    <w:basedOn w:val="721"/>
    <w:link w:val="895"/>
    <w:uiPriority w:val="9"/>
    <w:rPr>
      <w:rFonts w:ascii="Times New Roman" w:hAnsi="Times New Roman" w:cs="Times New Roman" w:eastAsia="Times New Roman"/>
      <w:b/>
      <w:bCs/>
      <w:sz w:val="48"/>
      <w:szCs w:val="48"/>
      <w:lang w:val="ru-RU" w:eastAsia="ru-RU"/>
    </w:rPr>
  </w:style>
  <w:style w:type="paragraph" w:styleId="911">
    <w:name w:val="Normal (Web)"/>
    <w:basedOn w:val="720"/>
    <w:uiPriority w:val="99"/>
    <w:semiHidden/>
    <w:unhideWhenUsed/>
    <w:rPr>
      <w:sz w:val="24"/>
      <w:szCs w:val="24"/>
    </w:rPr>
    <w:pPr>
      <w:spacing w:after="100" w:afterAutospacing="1" w:before="100" w:beforeAutospacing="1"/>
    </w:pPr>
  </w:style>
  <w:style w:type="paragraph" w:styleId="912">
    <w:name w:val="Body Text"/>
    <w:basedOn w:val="720"/>
    <w:link w:val="913"/>
    <w:unhideWhenUsed/>
    <w:rPr>
      <w:sz w:val="28"/>
      <w:lang w:val="uk-UA"/>
    </w:rPr>
    <w:pPr>
      <w:jc w:val="both"/>
    </w:pPr>
  </w:style>
  <w:style w:type="character" w:styleId="913" w:customStyle="1">
    <w:name w:val="Основной текст Знак"/>
    <w:basedOn w:val="721"/>
    <w:link w:val="912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14" w:customStyle="1">
    <w:name w:val="rvts23"/>
    <w:basedOn w:val="721"/>
  </w:style>
  <w:style w:type="paragraph" w:styleId="915" w:customStyle="1">
    <w:name w:val="rvps6"/>
    <w:basedOn w:val="720"/>
    <w:rPr>
      <w:sz w:val="24"/>
      <w:szCs w:val="24"/>
    </w:rPr>
    <w:pPr>
      <w:spacing w:after="100" w:afterAutospacing="1" w:before="100" w:beforeAutospacing="1"/>
    </w:pPr>
  </w:style>
  <w:style w:type="character" w:styleId="916">
    <w:name w:val="Hyperlink"/>
    <w:rPr>
      <w:color w:val="0000FF"/>
      <w:u w:val="single"/>
    </w:rPr>
  </w:style>
  <w:style w:type="character" w:styleId="917" w:customStyle="1">
    <w:name w:val="rvts46"/>
    <w:basedOn w:val="721"/>
  </w:style>
  <w:style w:type="character" w:styleId="918" w:customStyle="1">
    <w:name w:val="Заголовок 2 Знак"/>
    <w:basedOn w:val="721"/>
    <w:link w:val="896"/>
    <w:uiPriority w:val="9"/>
    <w:semiHidden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val="ru-RU" w:eastAsia="ru-RU"/>
    </w:rPr>
  </w:style>
  <w:style w:type="character" w:styleId="919">
    <w:name w:val="Emphasis"/>
    <w:basedOn w:val="721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5073-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13</cp:revision>
  <dcterms:created xsi:type="dcterms:W3CDTF">2022-07-20T05:36:00Z</dcterms:created>
  <dcterms:modified xsi:type="dcterms:W3CDTF">2022-07-24T13:43:51Z</dcterms:modified>
</cp:coreProperties>
</file>