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jc w:val="center"/>
        <w:spacing w:after="0" w:afterAutospacing="0" w:before="0" w:beforeAutospacing="0"/>
        <w:tabs>
          <w:tab w:val="left" w:pos="567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06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70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06"/>
        <w:jc w:val="center"/>
        <w:spacing w:after="0" w:afterAutospacing="0" w:before="0" w:beforeAutospacing="0"/>
        <w:rPr>
          <w:sz w:val="16"/>
          <w:szCs w:val="16"/>
          <w:lang w:val="en-US"/>
        </w:rPr>
      </w:pPr>
      <w:r>
        <w:t xml:space="preserve"> </w:t>
      </w:r>
      <w:r/>
    </w:p>
    <w:p>
      <w:pPr>
        <w:pStyle w:val="70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06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t xml:space="preserve"> </w:t>
      </w:r>
      <w:r/>
    </w:p>
    <w:p>
      <w:pPr>
        <w:pStyle w:val="70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0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засідання виконавчого комітету Менської міської ради </w:t>
      </w:r>
      <w:r/>
    </w:p>
    <w:p>
      <w:pPr>
        <w:pStyle w:val="706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/>
      <w:r/>
    </w:p>
    <w:p>
      <w:pPr>
        <w:pStyle w:val="70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6</w:t>
      </w:r>
      <w:r/>
    </w:p>
    <w:p>
      <w:pPr>
        <w:pStyle w:val="706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706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/>
      <w:r/>
    </w:p>
    <w:p>
      <w:pPr>
        <w:pStyle w:val="706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0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06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 рішенням 1 сесії 8 скликання Менської міської ради 16 грудня 202</w:t>
      </w:r>
      <w:r>
        <w:rPr>
          <w:color w:val="000000"/>
          <w:sz w:val="28"/>
          <w:szCs w:val="28"/>
        </w:rPr>
        <w:t xml:space="preserve">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 Менської 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 Менської міської ради 8 скликання 23 грудня 2021 року № 900</w:t>
      </w:r>
      <w:r>
        <w:rPr>
          <w:color w:val="000000"/>
          <w:sz w:val="28"/>
          <w:szCs w:val="28"/>
        </w:rPr>
        <w:t xml:space="preserve"> (список додається). </w:t>
      </w:r>
      <w:r/>
    </w:p>
    <w:p>
      <w:pPr>
        <w:pStyle w:val="70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22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Прищепа В.В. </w:t>
      </w:r>
      <w:r>
        <w:rPr>
          <w:color w:val="000000"/>
          <w:sz w:val="28"/>
          <w:szCs w:val="28"/>
          <w:lang w:val="uk-UA"/>
        </w:rPr>
        <w:t xml:space="preserve">була присутня на засіданні виконавчого комітету, але участі у розгляді питань та голосуванні не брала.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0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0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Максименко Валентина Анатоліївна, заступник начальника Фінансового управління Менської мі</w:t>
      </w:r>
      <w:r>
        <w:rPr>
          <w:color w:val="000000"/>
          <w:sz w:val="28"/>
          <w:szCs w:val="28"/>
          <w:lang w:val="uk-UA"/>
        </w:rPr>
        <w:t xml:space="preserve">ської ради (при розгляді питань №№</w:t>
      </w:r>
      <w:r>
        <w:rPr>
          <w:color w:val="000000"/>
          <w:sz w:val="28"/>
          <w:szCs w:val="28"/>
          <w:lang w:val="uk-UA"/>
        </w:rPr>
        <w:t xml:space="preserve"> 75-88 включнро); Гончар Н</w:t>
      </w:r>
      <w:r>
        <w:rPr>
          <w:color w:val="000000"/>
          <w:sz w:val="28"/>
          <w:szCs w:val="28"/>
          <w:lang w:val="uk-UA"/>
        </w:rPr>
        <w:t xml:space="preserve">аталія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ікторівна</w:t>
      </w:r>
      <w:r>
        <w:rPr>
          <w:color w:val="000000"/>
          <w:sz w:val="28"/>
          <w:szCs w:val="28"/>
          <w:lang w:val="uk-UA"/>
        </w:rPr>
        <w:t xml:space="preserve">, директор КУ «Територіальний центр соціального обслуговування (надання соціальних послуг) Менської міської ради» (при розгляді питань </w:t>
      </w:r>
      <w:r>
        <w:rPr>
          <w:color w:val="000000"/>
          <w:sz w:val="28"/>
          <w:szCs w:val="28"/>
          <w:lang w:val="uk-UA"/>
        </w:rPr>
        <w:t xml:space="preserve">№№ 75</w:t>
      </w:r>
      <w:r>
        <w:rPr>
          <w:color w:val="000000"/>
          <w:sz w:val="28"/>
          <w:szCs w:val="28"/>
          <w:lang w:val="uk-UA"/>
        </w:rPr>
        <w:t xml:space="preserve">-88 включно); </w:t>
      </w:r>
      <w:r>
        <w:rPr>
          <w:color w:val="000000"/>
          <w:sz w:val="28"/>
          <w:szCs w:val="28"/>
          <w:lang w:val="uk-UA"/>
        </w:rPr>
        <w:t xml:space="preserve">Єкименко Ірина Валеріївна, головний спеціаліст відділу житлово-комунального господарства, енергоефективності</w:t>
      </w:r>
      <w:r>
        <w:rPr>
          <w:color w:val="000000"/>
          <w:sz w:val="28"/>
          <w:szCs w:val="28"/>
          <w:lang w:val="uk-UA"/>
        </w:rPr>
        <w:t xml:space="preserve"> та комунального майна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75</w:t>
      </w:r>
      <w:r>
        <w:rPr>
          <w:color w:val="000000"/>
          <w:sz w:val="28"/>
          <w:szCs w:val="28"/>
          <w:lang w:val="uk-UA"/>
        </w:rPr>
        <w:t xml:space="preserve">-88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Люшина Вікторія Леонідівна, заступник начальника відділу освіти Менської міської ради (при розгляді питан</w:t>
      </w:r>
      <w:r>
        <w:rPr>
          <w:color w:val="000000"/>
          <w:sz w:val="28"/>
          <w:szCs w:val="28"/>
          <w:lang w:val="uk-UA"/>
        </w:rPr>
        <w:t xml:space="preserve">ь №№ </w:t>
      </w:r>
      <w:r>
        <w:rPr>
          <w:color w:val="000000"/>
          <w:sz w:val="28"/>
          <w:szCs w:val="28"/>
          <w:lang w:val="uk-UA"/>
        </w:rPr>
        <w:t xml:space="preserve">75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88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Марцева Тетяна Іванівна, заступник начальника юридичного відділу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75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88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Ілюшкина Дар’</w:t>
      </w:r>
      <w:r>
        <w:rPr>
          <w:color w:val="000000"/>
          <w:sz w:val="28"/>
          <w:szCs w:val="28"/>
          <w:lang w:val="uk-UA"/>
        </w:rPr>
        <w:t xml:space="preserve">я Валеріївна, головний спеціаліст відділу архітектури та містобудування Менської місь</w:t>
      </w:r>
      <w:r>
        <w:rPr>
          <w:color w:val="000000"/>
          <w:sz w:val="28"/>
          <w:szCs w:val="28"/>
          <w:lang w:val="uk-UA"/>
        </w:rPr>
        <w:t xml:space="preserve">кої ради (при розгляді питань 75</w:t>
      </w:r>
      <w:r>
        <w:rPr>
          <w:color w:val="000000"/>
          <w:sz w:val="28"/>
          <w:szCs w:val="28"/>
          <w:lang w:val="uk-UA"/>
        </w:rPr>
        <w:t xml:space="preserve">-88 включно); </w:t>
      </w:r>
      <w:r>
        <w:rPr>
          <w:color w:val="000000"/>
          <w:sz w:val="28"/>
          <w:szCs w:val="28"/>
          <w:lang w:val="uk-UA"/>
        </w:rPr>
        <w:t xml:space="preserve">Москальчук Марина Віталіївна, начальник відділу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 та охорони здоров’я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75</w:t>
      </w:r>
      <w:r>
        <w:rPr>
          <w:color w:val="000000"/>
          <w:sz w:val="28"/>
          <w:szCs w:val="28"/>
          <w:lang w:val="uk-UA"/>
        </w:rPr>
        <w:t xml:space="preserve">-88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Скирта Оксана Віталіївна, головний спеціаліст відділу земельних відносин, агропромислового комплексу та екології Менської місь</w:t>
      </w:r>
      <w:r>
        <w:rPr>
          <w:color w:val="000000"/>
          <w:sz w:val="28"/>
          <w:szCs w:val="28"/>
          <w:lang w:val="uk-UA"/>
        </w:rPr>
        <w:t xml:space="preserve">кої ради (при розгляді питань 75</w:t>
      </w:r>
      <w:r>
        <w:rPr>
          <w:color w:val="000000"/>
          <w:sz w:val="28"/>
          <w:szCs w:val="28"/>
          <w:lang w:val="uk-UA"/>
        </w:rPr>
        <w:t xml:space="preserve">-88 включно); </w:t>
      </w:r>
      <w:r>
        <w:rPr>
          <w:color w:val="000000"/>
          <w:sz w:val="28"/>
          <w:szCs w:val="28"/>
          <w:lang w:val="uk-UA"/>
        </w:rPr>
        <w:t xml:space="preserve">Васильчук Олена Михайлівна, начальник служби у справах дітей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75</w:t>
      </w:r>
      <w:r>
        <w:rPr>
          <w:color w:val="000000"/>
          <w:sz w:val="28"/>
          <w:szCs w:val="28"/>
          <w:lang w:val="uk-UA"/>
        </w:rPr>
        <w:t xml:space="preserve">-91</w:t>
      </w:r>
      <w:r>
        <w:rPr>
          <w:color w:val="000000"/>
          <w:sz w:val="28"/>
          <w:szCs w:val="28"/>
          <w:lang w:val="uk-UA"/>
        </w:rPr>
        <w:t xml:space="preserve">включно</w:t>
      </w:r>
      <w:r>
        <w:rPr>
          <w:color w:val="000000"/>
          <w:sz w:val="28"/>
          <w:szCs w:val="28"/>
          <w:lang w:val="uk-UA"/>
        </w:rPr>
        <w:t xml:space="preserve">)</w:t>
      </w:r>
      <w:r/>
    </w:p>
    <w:p>
      <w:pPr>
        <w:pStyle w:val="70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0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 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706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Геннадій Анатолійович, міський голова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  <w:t xml:space="preserve">Примакова Г. А., який запропонував затвердити порядок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денний відповідно до запропонованого проекту.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75</w:t>
      </w:r>
      <w:r>
        <w:rPr>
          <w:sz w:val="28"/>
          <w:szCs w:val="28"/>
        </w:rPr>
        <w:t xml:space="preserve">. Про виконання бюджету Менської міської територіальної громади за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року.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Максименко Валентина Анатоліївна, заступник 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Фінансового управління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76</w:t>
      </w:r>
      <w:r>
        <w:rPr>
          <w:sz w:val="28"/>
          <w:szCs w:val="28"/>
        </w:rPr>
        <w:t xml:space="preserve">. Про звіт директора КУ «Територіальний центр 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 (надання соціальних послуг) Менської міської ради про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роботу.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Гончар Наталія Вікторівна, директор КУ «Територіальний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обслуговування (надання соціальних послуг)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роботу</w:t>
      </w:r>
      <w:r>
        <w:rPr>
          <w:sz w:val="28"/>
          <w:szCs w:val="28"/>
        </w:rPr>
        <w:t xml:space="preserve"> закладів освіти Менської міської ради.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Люшина Вікторія Леонідівна, заступник начальника Відділу 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78</w:t>
      </w:r>
      <w:r>
        <w:rPr>
          <w:sz w:val="28"/>
          <w:szCs w:val="28"/>
        </w:rPr>
        <w:t xml:space="preserve">. Про заходи по наповненню бюджету Менської міської 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 в 2022 році.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Максименко Валентина Анатоліївна, заступник 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Фінансового управління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79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Про внесення змін до р</w:t>
      </w:r>
      <w:r>
        <w:rPr>
          <w:sz w:val="28"/>
          <w:szCs w:val="28"/>
          <w:lang w:val="uk-UA"/>
        </w:rPr>
        <w:t xml:space="preserve">ішення виконавчого комітету від 26 березня 2021 року №75 «Про затвердження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</w:t>
      </w:r>
      <w:r>
        <w:rPr>
          <w:sz w:val="28"/>
          <w:szCs w:val="28"/>
        </w:rPr>
        <w:t xml:space="preserve">наслідків на території Менської міської територіальної громади на 2021-2022 роки».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Гаєвой Сергій Миколайович, заступник міського голови з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діяльності виконавчих органів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. </w:t>
      </w:r>
      <w:bookmarkStart w:id="0" w:name="_Hlk108192759"/>
      <w:r>
        <w:rPr>
          <w:sz w:val="28"/>
          <w:szCs w:val="28"/>
        </w:rPr>
        <w:t xml:space="preserve">Про проведення конкурсу з визначення виконавця послуг з вивезення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твердих побутових відходів на території Менської міської 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громади.</w:t>
      </w:r>
      <w:bookmarkEnd w:id="0"/>
      <w:r/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81</w:t>
      </w:r>
      <w:r>
        <w:rPr>
          <w:sz w:val="28"/>
          <w:szCs w:val="28"/>
        </w:rPr>
        <w:t xml:space="preserve">. Про дозвіл на підключення водопроводу до будинку №68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Сіверський шлях в місті Мена.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. Про проведення технічного обстеження.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Ілюшкина Дар’я Валеріївна, головний спеціаліст 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архітектури та містобудування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83</w:t>
      </w:r>
      <w:r>
        <w:rPr>
          <w:sz w:val="28"/>
          <w:szCs w:val="28"/>
        </w:rPr>
        <w:t xml:space="preserve">. Про закріплення території обслуговування за закладами дошкільної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освіти на 2022-2023 навчальний рік.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Люшина Вікторія Леонідівна, заступник начальника Відділу 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84</w:t>
      </w:r>
      <w:r>
        <w:rPr>
          <w:sz w:val="28"/>
          <w:szCs w:val="28"/>
        </w:rPr>
        <w:t xml:space="preserve">. Про затвердження Плану дій Менської міської ради із 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рівних прав і можливостей жінок та чоловіків на 2022-2024 роки.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85</w:t>
      </w:r>
      <w:r>
        <w:rPr>
          <w:sz w:val="28"/>
          <w:szCs w:val="28"/>
        </w:rPr>
        <w:t xml:space="preserve">. </w:t>
      </w:r>
      <w:bookmarkStart w:id="1" w:name="_Hlk108199026"/>
      <w:r>
        <w:rPr>
          <w:sz w:val="28"/>
          <w:szCs w:val="28"/>
        </w:rPr>
        <w:t xml:space="preserve">Про надання соціальних послуг в КУ «Територіальний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обслуговування (надання соціальних послуг)»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ради.</w:t>
      </w:r>
      <w:bookmarkEnd w:id="1"/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86</w:t>
      </w:r>
      <w:r>
        <w:rPr>
          <w:sz w:val="28"/>
          <w:szCs w:val="28"/>
        </w:rPr>
        <w:t xml:space="preserve">. </w:t>
      </w:r>
      <w:bookmarkStart w:id="2" w:name="_Hlk108199477"/>
      <w:r>
        <w:rPr>
          <w:sz w:val="28"/>
          <w:szCs w:val="28"/>
        </w:rPr>
        <w:t xml:space="preserve">Про внесення змін до рішення виконавчого комітету від 26 березня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року №82.</w:t>
      </w:r>
      <w:bookmarkEnd w:id="2"/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Скирта Оксана Віталіївна, головний спеціаліст відділу 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87</w:t>
      </w:r>
      <w:r>
        <w:rPr>
          <w:sz w:val="28"/>
          <w:szCs w:val="28"/>
        </w:rPr>
        <w:t xml:space="preserve">. </w:t>
      </w:r>
      <w:bookmarkStart w:id="3" w:name="_Hlk108199948"/>
      <w:r>
        <w:rPr>
          <w:sz w:val="28"/>
          <w:szCs w:val="28"/>
        </w:rPr>
        <w:t xml:space="preserve">Про припинення права оперативного управління майном КНП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«Менська міська лікарня».</w:t>
      </w:r>
      <w:bookmarkEnd w:id="3"/>
      <w:r/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88</w:t>
      </w:r>
      <w:r>
        <w:rPr>
          <w:sz w:val="28"/>
          <w:szCs w:val="28"/>
        </w:rPr>
        <w:t xml:space="preserve">. </w:t>
      </w:r>
      <w:bookmarkStart w:id="4" w:name="_Hlk108200437"/>
      <w:r>
        <w:rPr>
          <w:sz w:val="28"/>
          <w:szCs w:val="28"/>
        </w:rPr>
        <w:t xml:space="preserve">Про передачу майна в господарське відання КП “Менакомунпослуга”.</w:t>
      </w:r>
      <w:bookmarkEnd w:id="4"/>
      <w:r/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89</w:t>
      </w:r>
      <w:r>
        <w:rPr>
          <w:sz w:val="28"/>
          <w:szCs w:val="28"/>
        </w:rPr>
        <w:t xml:space="preserve">. Про взяття на квартирний облік дитини, позбавленої батьківського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піклування.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90</w:t>
      </w:r>
      <w:r>
        <w:rPr>
          <w:sz w:val="28"/>
          <w:szCs w:val="28"/>
        </w:rPr>
        <w:t xml:space="preserve">. </w:t>
      </w:r>
      <w:bookmarkStart w:id="5" w:name="_Hlk108200954"/>
      <w:r>
        <w:rPr>
          <w:sz w:val="28"/>
          <w:szCs w:val="28"/>
        </w:rPr>
        <w:t xml:space="preserve">Про затвердження висновку про доцільність позбавлення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батьківських прав батька</w:t>
      </w:r>
      <w:bookmarkEnd w:id="5"/>
      <w:r>
        <w:rPr>
          <w:sz w:val="28"/>
          <w:szCs w:val="28"/>
        </w:rPr>
        <w:t xml:space="preserve">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/>
      <w:bookmarkStart w:id="6" w:name="_Hlk108189368"/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bookmarkEnd w:id="6"/>
      <w:r/>
    </w:p>
    <w:p>
      <w:pPr>
        <w:pStyle w:val="706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91</w:t>
      </w:r>
      <w:r>
        <w:rPr>
          <w:sz w:val="28"/>
          <w:szCs w:val="28"/>
        </w:rPr>
        <w:t xml:space="preserve">. </w:t>
      </w:r>
      <w:bookmarkStart w:id="7" w:name="_Hlk108200981"/>
      <w:r>
        <w:rPr>
          <w:sz w:val="28"/>
          <w:szCs w:val="28"/>
        </w:rPr>
        <w:t xml:space="preserve">Про затвердження висновку c</w:t>
      </w:r>
      <w:r>
        <w:rPr>
          <w:sz w:val="28"/>
          <w:szCs w:val="28"/>
        </w:rPr>
        <w:t xml:space="preserve">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підтвердження місця проживання неповнолітньої дитини.</w:t>
      </w:r>
      <w:bookmarkEnd w:id="7"/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аксименко В.А.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прозвітувала про виконання бюджету Менської територіальної громади за 1 к</w:t>
      </w:r>
      <w:r>
        <w:rPr>
          <w:sz w:val="28"/>
          <w:szCs w:val="28"/>
          <w:lang w:val="uk-UA"/>
        </w:rPr>
        <w:t xml:space="preserve">вартал 2022 року. Як зазначила В</w:t>
      </w:r>
      <w:r>
        <w:rPr>
          <w:sz w:val="28"/>
          <w:szCs w:val="28"/>
          <w:lang w:val="uk-UA"/>
        </w:rPr>
        <w:t xml:space="preserve">алентина Анатоліївна</w:t>
      </w:r>
      <w:r>
        <w:rPr>
          <w:sz w:val="28"/>
          <w:szCs w:val="28"/>
          <w:lang w:val="uk-UA"/>
        </w:rPr>
        <w:t xml:space="preserve"> та зазначено в пояснювальній записці про виконання бюджету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ідсумки виконання дохідної частини загального фонду бюджету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ТГ за 1 квартал 2022 року свідчать про те, що план надходжень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податків, зборів, платежів (без міжбюджетних трансфертів) виконано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78,32</w:t>
      </w:r>
      <w:r>
        <w:rPr>
          <w:sz w:val="28"/>
          <w:szCs w:val="28"/>
        </w:rPr>
        <w:t xml:space="preserve">%, недовиконання становить 7 600,3 тис. грн. (план – 35 056,6 тис.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грн., факт – 27 456,3 тис. грн):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податкові надходження виконані на 77,3 %, недовиконання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становить 7 760,1 тис. грн.;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неподаткові надходження виконані на 119,5 %, перевиконання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становить 159,8 тис. грн.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Надходження дотацій та субвенцій </w:t>
      </w:r>
      <w:r>
        <w:rPr>
          <w:sz w:val="28"/>
          <w:szCs w:val="28"/>
        </w:rPr>
        <w:t xml:space="preserve">складають – 20 417,4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Видаткова частина загального фонду бюджету виконана в сумі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39 163,9 тис. грн.,</w:t>
      </w:r>
      <w:r>
        <w:rPr>
          <w:sz w:val="28"/>
          <w:szCs w:val="28"/>
        </w:rPr>
        <w:t xml:space="preserve"> а саме на: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оплату праці працівників бюджетних установ та нарахування на неї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33 862,3 тис. грн.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спожиті енергоносії - 895,7 тис. грн.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придбання продуктів харчування – 781,8 тис. грн.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 медикаменти – 7,8 тис. грн.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 xml:space="preserve"> інші виплати населенню – 106,9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 xml:space="preserve"> інші субвенції з місцевого бюджету – 430,0 тис. грн.: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на утримання бригад Бірківського та Макошинського пунктів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підстанції Корюківської станції Е(Ш)МД – 430,0 тис. грн;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 xml:space="preserve"> поточні трансферти підприємствам – 2 138,6 тис. грн.;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 xml:space="preserve"> інші видатки – 940,9 тис. грн. (що складає 2,4 % від загальної суми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видатків).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На утримання бюджетних установ</w:t>
      </w:r>
      <w:r>
        <w:rPr>
          <w:sz w:val="28"/>
          <w:szCs w:val="28"/>
        </w:rPr>
        <w:t xml:space="preserve"> направлено 35 889,3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Підсумки виконання дохідної частини спеціального фонду бюджету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ТГ за 1 квартал 2022 року (без урахування трансфертів) свідчать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те, що надходження виконано в сумі 1 400,5 тис. грн.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Видаткова частина спеціального фонду бюджету виконана в сумі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1 813,4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На захищені статті видатків спрямовано 199,7 тис. грн., а саме на: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оплату праці та нарахування на неї – 3,0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придбання продуктів харчування – 196,7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Протягом звітного періоду використано залишок коштів субвенції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соціально-економічний розвиток для виконання об’єкту «Реконструкція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нежитлової будівлі з розміщенням Центру надання адміністративних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 по вул. Героїв АТО в м. Мена Чернігівської області (коригування)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ДК 021-2015, код 45450000-6, інші завершальні роботи» в сумі 719,2 тис. грн.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Оприбутковано по програмі DOBRE мобільну збірно-розбірну сцену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сумі 410,0 тис. грн. та ноутбуки, акустичну систему, телевізор,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кондиціонери в сумі 214,0 тис. грн.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</w:rPr>
        <w:t xml:space="preserve">запитав, чи є у членів ви</w:t>
      </w:r>
      <w:r>
        <w:rPr>
          <w:rFonts w:ascii="Times New Roman" w:hAnsi="Times New Roman" w:cs="Times New Roman"/>
          <w:sz w:val="28"/>
          <w:szCs w:val="28"/>
        </w:rPr>
        <w:t xml:space="preserve">конкому запитання до доповідача, пропозиції чи доповнення.</w:t>
      </w:r>
      <w:r>
        <w:rPr>
          <w:rFonts w:ascii="Times New Roman" w:hAnsi="Times New Roman" w:cs="Times New Roman"/>
          <w:sz w:val="28"/>
          <w:szCs w:val="28"/>
        </w:rPr>
        <w:t xml:space="preserve"> Враховуючи, що запитань</w:t>
      </w:r>
      <w:r>
        <w:rPr>
          <w:rFonts w:ascii="Times New Roman" w:hAnsi="Times New Roman" w:cs="Times New Roman"/>
          <w:sz w:val="28"/>
          <w:szCs w:val="28"/>
        </w:rPr>
        <w:t xml:space="preserve">, доповнень та пропозицій</w:t>
      </w:r>
      <w:r>
        <w:rPr>
          <w:rFonts w:ascii="Times New Roman" w:hAnsi="Times New Roman" w:cs="Times New Roman"/>
          <w:sz w:val="28"/>
          <w:szCs w:val="28"/>
        </w:rPr>
        <w:t xml:space="preserve"> немає</w:t>
      </w:r>
      <w:r>
        <w:rPr>
          <w:rFonts w:ascii="Times New Roman" w:hAnsi="Times New Roman" w:cs="Times New Roman"/>
          <w:sz w:val="28"/>
          <w:szCs w:val="28"/>
        </w:rPr>
        <w:t xml:space="preserve">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 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територіальної громади за І квартал 2022 року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pStyle w:val="703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виконання бюджету Менської міської територіальної громади за 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квартал 2022 року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0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 Н.В., яка з</w:t>
      </w:r>
      <w:r>
        <w:rPr>
          <w:sz w:val="28"/>
          <w:szCs w:val="28"/>
          <w:lang w:val="uk-UA"/>
        </w:rPr>
        <w:t xml:space="preserve">вітува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свою </w:t>
      </w:r>
      <w:r>
        <w:rPr>
          <w:sz w:val="28"/>
          <w:szCs w:val="28"/>
          <w:lang w:val="uk-UA"/>
        </w:rPr>
        <w:t xml:space="preserve">роботу</w:t>
      </w:r>
      <w:r>
        <w:rPr>
          <w:sz w:val="28"/>
          <w:szCs w:val="28"/>
          <w:lang w:val="uk-UA"/>
        </w:rPr>
        <w:t xml:space="preserve"> як директора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послуг)»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Наталія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ікторівна зазначила, що о</w:t>
      </w:r>
      <w:r>
        <w:rPr>
          <w:sz w:val="28"/>
          <w:szCs w:val="28"/>
        </w:rPr>
        <w:t xml:space="preserve">сновним завданням територіального центру є: виявлення громадян,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потребують соціального обслуговування та забезпечення їх якісними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соціальними послугами.</w:t>
      </w:r>
      <w:r>
        <w:rPr>
          <w:sz w:val="28"/>
          <w:szCs w:val="28"/>
          <w:lang w:val="uk-UA"/>
        </w:rPr>
        <w:t xml:space="preserve"> У складі установи </w:t>
      </w:r>
      <w:r>
        <w:rPr>
          <w:sz w:val="28"/>
          <w:szCs w:val="28"/>
          <w:lang w:val="uk-UA"/>
        </w:rPr>
        <w:t xml:space="preserve">надають соціальні послуги чотири відділення: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соціальної допомоги вдома, відділення денного перебування,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організації надання адресної натуральної та грошової допомоги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стаціонарного догляду для постійного або тимчасового проживання.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Територіальним центром за 2021 рік виявлено 1678 осіб, що потребують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оціального </w:t>
      </w:r>
      <w:r>
        <w:rPr>
          <w:sz w:val="28"/>
          <w:szCs w:val="28"/>
        </w:rPr>
        <w:t xml:space="preserve">обслуговування, із них обслуговано</w:t>
      </w:r>
      <w:r>
        <w:rPr>
          <w:sz w:val="28"/>
          <w:szCs w:val="28"/>
        </w:rPr>
        <w:t xml:space="preserve"> 1553 особи, ефективність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соціального обслуговування становить 92,5%. Загалом відділеннями було надано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67496 послуг. У зв’язку зі змінами в адміністративно-територіальному устрої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 xml:space="preserve">до складу</w:t>
      </w:r>
      <w:r>
        <w:rPr>
          <w:sz w:val="28"/>
          <w:szCs w:val="28"/>
        </w:rPr>
        <w:t xml:space="preserve"> Менської ТГ додались населені пункти, де працювали 10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соціальних робітників та було на обслуговуванні 97 осіб. З метою безперервного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своєчасного надання соціальних послуг громадянам похилого віку, робітників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було переведено до нашої установи.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Відділенням соціальної допо</w:t>
      </w:r>
      <w:r>
        <w:rPr>
          <w:sz w:val="28"/>
          <w:szCs w:val="28"/>
        </w:rPr>
        <w:t xml:space="preserve">моги вдома за 2021 рік обслуговано</w:t>
      </w:r>
      <w:r>
        <w:rPr>
          <w:sz w:val="28"/>
          <w:szCs w:val="28"/>
        </w:rPr>
        <w:t xml:space="preserve"> 641 особа,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із них на платній основі – </w:t>
      </w:r>
      <w:r>
        <w:rPr>
          <w:sz w:val="28"/>
          <w:szCs w:val="28"/>
        </w:rPr>
        <w:t xml:space="preserve">191 особа. По м. Мена, обслуговано</w:t>
      </w:r>
      <w:r>
        <w:rPr>
          <w:sz w:val="28"/>
          <w:szCs w:val="28"/>
        </w:rPr>
        <w:t xml:space="preserve"> 189 осіб, а в сільській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місцевості 452 особи. Це не тільки одинокі непрацездатні громадяни, а й ті,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проживають самотньо, але мають дітей, які живуть в іншому регіоні.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соціальної допомоги вдома згідно з умовами договору,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забезпечує відвідування громадян, яких воно обслуговує, не менше як двічі ,на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тиждень, організовує надання передбачених договором послуг, вживає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їх задоволення. Один соціальний робітник обслуговує в середньому 11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чоловік, а за один день надає послуги 6 підопічним, на відвідування однієї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людини припадає приблизно 1 година, впродовж якої надаються необхідні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соціальні послуги.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оціальні робітники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надають більше 40 видів різних послуг. Періодичність відвідування та якість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надання соціальних послуг постійно контролюється спеціалістами відділення, 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також проводиться обстеження матеріально-побутових умов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підопічних пенсіонерів. У 2021 році було проведено 32 перевірки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соціальних робітників сіл громади та перевірено роботу 48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робітників. Було проведено обстеження матеріально-побутових умов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проживання 520 пенсіонерів.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Менська МТГ є однією з небагатьох в Чернігівській області, де збереглось 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функціонує відділення стаціонарного догляду для постійного або тимчасового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проживання, яке розраховане на 45 чоловік. На даний час у ньому проживає 31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особа.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проживаючих створені належні побутові умови, підопічні проживаютьу світлих кімнатах на 4 особи. </w:t>
      </w:r>
      <w:r>
        <w:rPr>
          <w:sz w:val="28"/>
          <w:szCs w:val="28"/>
        </w:rPr>
        <w:t xml:space="preserve">З метою економії природного газу та зменшення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витрат на опалення встановлено твердопаливний піролізний котел, який працює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дровах і п</w:t>
      </w:r>
      <w:r>
        <w:rPr>
          <w:sz w:val="28"/>
          <w:szCs w:val="28"/>
        </w:rPr>
        <w:t xml:space="preserve">овністю замінив газову котельню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даному закладі громадяни перебувають на повному державному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утриманні, одержують необхідні їм соціальні послуги та забезпечуються: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житлом, одягом, взуттям, постільною білизною, м’яким і твердим інвентарем,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раціональним чотириразовим харчуванням. Потребуючим за призначенням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лікарів надається медична допомога, при необхідності хворі доставляються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медичних закладів району та області. У відділенні працює медична сестра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яка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доглядає за підопічними та видає ліки за призначенням лікаря. Заключені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декларації з сімейним лікарем, який 2 рази в місяць або частіше, по необхідності,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приїздить до відділення для огляду проживаючих.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2021 встановлено та введено в експлуатацію автоматичну пожежну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сигналізацію, оповіщення про пожежу, управління евакуацією людей,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устаткування передавання тривожних сповіщень в приміщенні відділення, 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також додатково закуплені вогнегасники та засоби індивідуального захисту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органів дихання (протигази)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Відділення організації надання адресної натуральної та грошової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допомоги.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Ще одне відділення територіального центру – це відділення організації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адресної натуральної та грошової допомоги, яке в цьому році </w:t>
      </w:r>
      <w:r>
        <w:rPr>
          <w:sz w:val="28"/>
          <w:szCs w:val="28"/>
          <w:lang w:val="uk-UA"/>
        </w:rPr>
        <w:t xml:space="preserve">наддало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7105 послуг. Для кращого обслуговування підопічних та збільшення кількості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якості наданих послуг територіального центру у відділенні маємо трактор, плуг,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борону, електропилу, 2 бензопили, та 2 мотокоси. </w:t>
      </w:r>
      <w:r>
        <w:rPr>
          <w:sz w:val="28"/>
          <w:szCs w:val="28"/>
        </w:rPr>
        <w:t xml:space="preserve">У відділенні працюють дві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швачки – одна в Мені, працює на ставку, друга на 0,5 посади у смт Макошине,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робітник по ремонту взуття, електрик, тракторист, 3 робітники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обслуговуванню та ремонту будинків, перукар. Відділення надає послуги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виконанню нескладних ремонтних робіт житлових та підсобних приміщень,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огорожі, розпилюванню дров, обрізанню дерев та кущів, обкошуванню садиб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тощо. Надаються послуги по перевезенню вантажів та оранці городів. Обладнані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кабінети швачки, перукаря, медичної сестри та робітника по ремонту взуття,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психолога.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6 грудня відбулося відкриття соціальної пральні в рамках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реалізації проекту «Соціальна пральня «Достойне життя». До кінця 2021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послугою соціальної пральні скористались 22 підопічних територіального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центру.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При територіальному центрі соціального обслуговування (надання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соціальних послуг) функціонує відділення денного перебування, яке обслуговує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громадян похилого віку, ветеранів війни та праці, інвалідів з 18- річного віку.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відділенні денного перебування кожен має можливість знайти собі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заняття до душі, реалізовувати свої творчі здібності, отримувати професійну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підтримку в складній життєвій ситуації, провести час у дружньому колі,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познайомитись з новими, цікавими людьми.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2021 рік відділенням денного перебування було виявлено 572 осіб,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обслугова</w:t>
      </w:r>
      <w:r>
        <w:rPr>
          <w:sz w:val="28"/>
          <w:szCs w:val="28"/>
          <w:lang w:val="uk-UA"/>
        </w:rPr>
        <w:t xml:space="preserve">но 548 осіб. </w:t>
      </w:r>
      <w:r>
        <w:rPr>
          <w:sz w:val="28"/>
          <w:szCs w:val="28"/>
          <w:lang w:val="uk-UA"/>
        </w:rPr>
        <w:t xml:space="preserve">При відділенні працює сестра медична. Вона постійно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 спостереження за станом здоров’я підопічних, вимірювання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артеріального тиску, надаються послуги з масажу, лікувальної фізкультури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тренажерні</w:t>
      </w:r>
      <w:r>
        <w:rPr>
          <w:sz w:val="28"/>
          <w:szCs w:val="28"/>
          <w:lang w:val="uk-UA"/>
        </w:rPr>
        <w:t xml:space="preserve">й залі, проводиться просвітницька робота з питань здорового способу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життя.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Також при відділенні денного перебування діє клуб за інтересами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«Господині». У лютому 2021 року була введена нова соціальна послуга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скандинавська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хода, для підтримки здорового способу життя та активного довголіття осіб,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перебувають на обліку в даному відділенні. На разі сформовано три групи по 15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осіб, які два рази на тиждень згідно графіка можуть відвідувати заняття.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вересні завдяки співпраці з ГО «Добрі Ініціативи Менщини» згідно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підписаного меморандуму було відкрито нову соціальну послугу - надання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тимчасове користування технічних засобів реабілітації. Дана послуга дозволить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обмеження в життєдіяльності та дозволить підтримати соціальну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незалежність громадян, які частково або повністю втратили рухову активність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з віком чи хворобою. </w:t>
      </w:r>
      <w:r>
        <w:rPr>
          <w:sz w:val="28"/>
          <w:szCs w:val="28"/>
        </w:rPr>
        <w:t xml:space="preserve">На даний час послугою скористалось 65 осіб.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Наталія Вікторівна </w:t>
      </w:r>
      <w:r>
        <w:rPr>
          <w:sz w:val="28"/>
          <w:szCs w:val="28"/>
          <w:lang w:val="uk-UA"/>
        </w:rPr>
        <w:t xml:space="preserve">наголосила на п</w:t>
      </w:r>
      <w:r>
        <w:rPr>
          <w:sz w:val="28"/>
          <w:szCs w:val="28"/>
        </w:rPr>
        <w:t xml:space="preserve">роблемн</w:t>
      </w:r>
      <w:r>
        <w:rPr>
          <w:sz w:val="28"/>
          <w:szCs w:val="28"/>
          <w:lang w:val="uk-UA"/>
        </w:rPr>
        <w:t xml:space="preserve">их</w:t>
      </w:r>
      <w:r>
        <w:rPr>
          <w:sz w:val="28"/>
          <w:szCs w:val="28"/>
        </w:rPr>
        <w:t xml:space="preserve"> питання</w:t>
      </w:r>
      <w:r>
        <w:rPr>
          <w:sz w:val="28"/>
          <w:szCs w:val="28"/>
          <w:lang w:val="uk-UA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(надання соціальних послуг)» Менської міської ради</w:t>
      </w:r>
      <w:r>
        <w:rPr>
          <w:sz w:val="28"/>
          <w:szCs w:val="28"/>
          <w:lang w:val="uk-UA"/>
        </w:rPr>
        <w:t xml:space="preserve">, серед яких - </w:t>
      </w:r>
      <w:r>
        <w:rPr>
          <w:sz w:val="28"/>
          <w:szCs w:val="28"/>
        </w:rPr>
        <w:t xml:space="preserve">ремонт</w:t>
      </w:r>
      <w:r>
        <w:rPr>
          <w:sz w:val="28"/>
          <w:szCs w:val="28"/>
        </w:rPr>
        <w:t xml:space="preserve"> приміщення харчоблоку у відділенні стаціонарного догляду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пості</w:t>
      </w:r>
      <w:r>
        <w:rPr>
          <w:sz w:val="28"/>
          <w:szCs w:val="28"/>
        </w:rPr>
        <w:t xml:space="preserve">йного та тимчасового проживання, ремонт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ганку та покрівлі</w:t>
      </w:r>
      <w:r>
        <w:rPr>
          <w:sz w:val="28"/>
          <w:szCs w:val="28"/>
        </w:rPr>
        <w:t xml:space="preserve"> приміщення де знаходиться </w:t>
      </w:r>
      <w:r>
        <w:rPr>
          <w:sz w:val="28"/>
          <w:szCs w:val="28"/>
          <w:lang w:val="uk-UA"/>
        </w:rPr>
        <w:t xml:space="preserve">установа.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виконкому запитання до доповідача. Враховуючи, що запитань немає, поставив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звіт директора КУ «Територіальний центр соціального обслуговування (надання соціальних послуг) Менської міської ради про роботу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»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звіт директора КУ «Територіальний центр 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 (надання соціальних послуг) Менської міської ради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роботу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Люшину В.Л.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роботу</w:t>
      </w:r>
      <w:r>
        <w:rPr>
          <w:sz w:val="28"/>
          <w:szCs w:val="28"/>
          <w:lang w:val="uk-UA"/>
        </w:rPr>
        <w:t xml:space="preserve"> закладів освіти. Вікторія Леонідівна запропонувала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еревести заклади дошкільної освіти у літній період (з 01 червня до 31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серпня 2022 року) на оздоровчий режим роботи, </w:t>
      </w:r>
      <w:r>
        <w:rPr>
          <w:sz w:val="28"/>
          <w:szCs w:val="28"/>
        </w:rPr>
        <w:t xml:space="preserve">враховуючи умови воєнного стану, </w:t>
      </w:r>
      <w:r>
        <w:rPr>
          <w:sz w:val="28"/>
          <w:szCs w:val="28"/>
        </w:rPr>
        <w:t xml:space="preserve">при цьому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</w:rPr>
        <w:t xml:space="preserve">абезпечити збалансоване харчування дітей за </w:t>
      </w:r>
      <w:r>
        <w:rPr>
          <w:sz w:val="28"/>
          <w:szCs w:val="28"/>
          <w:lang w:val="uk-UA"/>
        </w:rPr>
        <w:t xml:space="preserve">встановленими </w:t>
      </w:r>
      <w:r>
        <w:rPr>
          <w:sz w:val="28"/>
          <w:szCs w:val="28"/>
        </w:rPr>
        <w:t xml:space="preserve">нормами, </w:t>
      </w:r>
      <w:r>
        <w:rPr>
          <w:sz w:val="28"/>
          <w:szCs w:val="28"/>
          <w:lang w:val="uk-UA"/>
        </w:rPr>
        <w:t xml:space="preserve">та контроль </w:t>
      </w:r>
      <w:r>
        <w:rPr>
          <w:sz w:val="28"/>
          <w:szCs w:val="28"/>
        </w:rPr>
        <w:t xml:space="preserve">за дотриманням в закладах дошкільної освіти вимог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законодавства щодо роботи цих закладів. Крім того Люшина В.Л.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сказала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завершення </w:t>
      </w:r>
      <w:r>
        <w:rPr>
          <w:sz w:val="28"/>
          <w:szCs w:val="28"/>
        </w:rPr>
        <w:t xml:space="preserve">2021-2022 навчального року</w:t>
      </w:r>
      <w:r>
        <w:rPr>
          <w:sz w:val="28"/>
          <w:szCs w:val="28"/>
        </w:rPr>
        <w:t xml:space="preserve"> у закладах загальної середньої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</w:t>
      </w:r>
      <w:r>
        <w:rPr>
          <w:sz w:val="28"/>
          <w:szCs w:val="28"/>
        </w:rPr>
        <w:t xml:space="preserve">іської ради 10 червня 2022 року, запропонувала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</w:rPr>
        <w:t xml:space="preserve">оботу пришкіл</w:t>
      </w:r>
      <w:r>
        <w:rPr>
          <w:sz w:val="28"/>
          <w:szCs w:val="28"/>
        </w:rPr>
        <w:t xml:space="preserve">ьних таборів відпочинку у літній період</w:t>
      </w:r>
      <w:r>
        <w:rPr>
          <w:sz w:val="28"/>
          <w:szCs w:val="28"/>
        </w:rPr>
        <w:t xml:space="preserve"> 2022 року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організовувати, к</w:t>
      </w:r>
      <w:r>
        <w:rPr>
          <w:sz w:val="28"/>
          <w:szCs w:val="28"/>
        </w:rPr>
        <w:t xml:space="preserve">ерівникам закладів позашкільн</w:t>
      </w:r>
      <w:r>
        <w:rPr>
          <w:sz w:val="28"/>
          <w:szCs w:val="28"/>
        </w:rPr>
        <w:t xml:space="preserve">ої освіти в</w:t>
      </w:r>
      <w:r>
        <w:rPr>
          <w:sz w:val="28"/>
          <w:szCs w:val="28"/>
        </w:rPr>
        <w:t xml:space="preserve">жити заходів щодо забезпечення освітнього процесу у закладах</w:t>
      </w:r>
      <w:r>
        <w:rPr>
          <w:sz w:val="28"/>
          <w:szCs w:val="28"/>
        </w:rPr>
        <w:t xml:space="preserve"> позашкільної освіти, активізувати роботу позашкільних закладів освіти у літній період з бов’язковим залученням</w:t>
      </w:r>
      <w:r>
        <w:rPr>
          <w:sz w:val="28"/>
          <w:szCs w:val="28"/>
        </w:rPr>
        <w:t xml:space="preserve"> до позашкільної освіти дітей, які евакуйовані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районів проведення бойових дій, окупованих територій та внутрішньо переміщених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осіб.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запитав у членів виконкому чи є запитання до доповідача. Враховуючи, що запитань не має, посатвив на голосування проєкт рішення - </w:t>
      </w:r>
      <w:r>
        <w:rPr>
          <w:sz w:val="28"/>
          <w:szCs w:val="28"/>
          <w:lang w:val="uk-UA"/>
        </w:rPr>
        <w:t xml:space="preserve">«Про роботу закладів освіти Менської міської ради»</w:t>
      </w:r>
      <w:r>
        <w:rPr>
          <w:sz w:val="28"/>
          <w:szCs w:val="28"/>
          <w:lang w:val="uk-UA"/>
        </w:rPr>
        <w:t xml:space="preserve">.</w:t>
      </w:r>
      <w:r/>
    </w:p>
    <w:p>
      <w:pPr>
        <w:ind w:right="5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роботу закладів освіти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Максименко В.А.</w:t>
      </w:r>
      <w:r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проінформувала про необхідність внесення змін</w:t>
      </w:r>
      <w:r>
        <w:rPr>
          <w:sz w:val="28"/>
          <w:szCs w:val="28"/>
          <w:lang w:val="uk-UA"/>
        </w:rPr>
        <w:t xml:space="preserve"> та доповнень до плану заходів щодо наповнення</w:t>
      </w:r>
      <w:r>
        <w:rPr>
          <w:sz w:val="28"/>
          <w:szCs w:val="28"/>
          <w:lang w:val="uk-UA"/>
        </w:rPr>
        <w:t xml:space="preserve"> бюджету Менської</w:t>
      </w:r>
      <w:r>
        <w:rPr>
          <w:sz w:val="28"/>
          <w:szCs w:val="28"/>
          <w:lang w:val="uk-UA"/>
        </w:rPr>
        <w:t xml:space="preserve"> міської територіальної громади, вишукування </w:t>
      </w:r>
      <w:r>
        <w:rPr>
          <w:sz w:val="28"/>
          <w:szCs w:val="28"/>
          <w:lang w:val="uk-UA"/>
        </w:rPr>
        <w:t xml:space="preserve">додаткових джерел надходжень, дотримання жорсткого режиму економії бюджетних коштів та посилення фінансово-бюджетної дисцпліни у 2022 році.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Валентина Анатоліївна, зокрема, зазначила про неодхідність виконання слідуючих заходів: </w:t>
      </w:r>
      <w:r>
        <w:rPr>
          <w:sz w:val="28"/>
          <w:szCs w:val="28"/>
          <w:lang w:val="uk-UA"/>
        </w:rPr>
        <w:t xml:space="preserve">активізувати роботу робочої групи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легалізації виплати заробітної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плати і зайнятості населення при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Менській міській раді (забезпечивши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засідань робочої групи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рідше 2 разів на місяць) щодо належного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оформлення трудових відносин із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найманими працівниками (легалізація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зайнятості), додержання мінімальних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гарантій в оплаті праці, 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індивідуальної роботи з керівниками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підприємств, установ, організацій усіх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 власності щодо повноти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своєчасності виплати заробітної плати;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систематично проводити аналіз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надходжень ПДФО до бюджету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розрізі платників, а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разі зменшення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надходжень ПДФО в порівнянні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відповідним періодом 2021 року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встановлювати причину зменшення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 виникненні податкового боргу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забезпечити проведення всіх заходів,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межах законодавства, по погашенню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боргу до бюджету громади</w:t>
      </w:r>
      <w:r>
        <w:rPr>
          <w:sz w:val="28"/>
          <w:szCs w:val="28"/>
          <w:lang w:val="uk-UA"/>
        </w:rPr>
        <w:t xml:space="preserve">; а</w:t>
      </w:r>
      <w:r>
        <w:rPr>
          <w:sz w:val="28"/>
          <w:szCs w:val="28"/>
          <w:lang w:val="uk-UA"/>
        </w:rPr>
        <w:t xml:space="preserve">ктивізувати роботу стосовно контролю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 проведенням відповідного аналізу)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сплатою </w:t>
      </w:r>
      <w:r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 xml:space="preserve">нарахованих податків 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платежів, покращення платіжної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дисципліни суб’єктів господарювання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зменшення податкового боргу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платежами до бюджету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громади, при цьому о</w:t>
      </w:r>
      <w:r>
        <w:rPr>
          <w:sz w:val="28"/>
          <w:szCs w:val="28"/>
        </w:rPr>
        <w:t xml:space="preserve">собливу увагу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звернути щодо сплати </w:t>
      </w:r>
      <w:r>
        <w:rPr>
          <w:sz w:val="28"/>
          <w:szCs w:val="28"/>
        </w:rPr>
        <w:t xml:space="preserve">єдиного податку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</w:t>
      </w:r>
      <w:r>
        <w:rPr>
          <w:sz w:val="28"/>
          <w:szCs w:val="28"/>
        </w:rPr>
        <w:t xml:space="preserve">атниками податку 1,2,3,4 груп, а п</w:t>
      </w:r>
      <w:r>
        <w:rPr>
          <w:sz w:val="28"/>
          <w:szCs w:val="28"/>
        </w:rPr>
        <w:t xml:space="preserve">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виникненні податкового боргу провести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всі заходи, в межах законодавства,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погашенню вказаного боргу до бюджету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</w:rPr>
        <w:t xml:space="preserve">ктивізувати роботу щодо збільшення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надходжень плати за землю, п</w:t>
      </w:r>
      <w:r>
        <w:rPr>
          <w:sz w:val="28"/>
          <w:szCs w:val="28"/>
        </w:rPr>
        <w:t xml:space="preserve">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аналізу договорів оренди 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ділянок, що належать до комунальної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власності, та забезпечення встановлення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розміру орендної плати відповідно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вимог чинного законодавства та рішень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ради, п</w:t>
      </w:r>
      <w:r>
        <w:rPr>
          <w:sz w:val="28"/>
          <w:szCs w:val="28"/>
        </w:rPr>
        <w:t xml:space="preserve">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аналізу договорів оренди землі 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повноти та своєчасності сплати орендної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плати за користування земельними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ділянками і в разі виникнення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заборгованості провести всі заходи,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межах законодавства, по її погашенню</w:t>
      </w:r>
      <w:r>
        <w:rPr>
          <w:sz w:val="28"/>
          <w:szCs w:val="28"/>
          <w:lang w:val="uk-UA"/>
        </w:rPr>
        <w:t xml:space="preserve">;  з</w:t>
      </w:r>
      <w:r>
        <w:rPr>
          <w:sz w:val="28"/>
          <w:szCs w:val="28"/>
        </w:rPr>
        <w:t xml:space="preserve">дійснювати звірку та контроль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повнотою оподаткування акцизним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податком з реалізації суб’єктами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господарювання роздрібної торгівлі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підакцизних товарів</w:t>
      </w:r>
      <w:r>
        <w:rPr>
          <w:sz w:val="28"/>
          <w:szCs w:val="28"/>
          <w:lang w:val="uk-UA"/>
        </w:rPr>
        <w:t xml:space="preserve">; н</w:t>
      </w:r>
      <w:r>
        <w:rPr>
          <w:sz w:val="28"/>
          <w:szCs w:val="28"/>
        </w:rPr>
        <w:t xml:space="preserve">алагодити роботу</w:t>
      </w:r>
      <w:r>
        <w:rPr>
          <w:sz w:val="28"/>
          <w:szCs w:val="28"/>
        </w:rPr>
        <w:t xml:space="preserve"> системи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енергоменеджменту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енергомоніторингу; з</w:t>
      </w:r>
      <w:r>
        <w:rPr>
          <w:sz w:val="28"/>
          <w:szCs w:val="28"/>
        </w:rPr>
        <w:t xml:space="preserve">дійснювати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постійний аналіз використання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енергоносіїв та р</w:t>
      </w:r>
      <w:r>
        <w:rPr>
          <w:sz w:val="28"/>
          <w:szCs w:val="28"/>
        </w:rPr>
        <w:t xml:space="preserve">озробити дієві заходи щодо зменшення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споживання розпорядниками коштів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всіх рівнів енергоносіїв у фізичних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обсягах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роводити через засоби масової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інформації широкомасштабну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роз’яснювальну роботу 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соціального значення легалізації праці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заробітної плати, обов’язкового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декларування доходів і сплати податків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роводити роботу щодо релокації бізнесу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період дії воєнного стану в Україні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територію населених пунктів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остійна співпраця з міжнародними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партнерськими організаціями,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громадами-партнерами, іншими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донорськими структурами;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ереглянути плани діяльності головного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розпорядника бюджетних коштів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результативні показники бюджетних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програм на предмет реалістичності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цілей, пріоритетності місцевих програм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середньостроковій перспективі у зв’язку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запровадженням воєнного стану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країні</w:t>
      </w:r>
      <w:r>
        <w:rPr>
          <w:sz w:val="28"/>
          <w:szCs w:val="28"/>
          <w:lang w:val="uk-UA"/>
        </w:rPr>
        <w:t xml:space="preserve">; підготувати пропозиції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співпраці</w:t>
      </w:r>
      <w:r>
        <w:rPr>
          <w:sz w:val="28"/>
          <w:szCs w:val="28"/>
          <w:lang w:val="uk-UA"/>
        </w:rPr>
        <w:t xml:space="preserve"> з структурними підрозділами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облдержадміністрації щодо реалізації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зі створення на 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спеціально</w:t>
      </w:r>
      <w:r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економічної зони, в т.ч.на території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Менської громади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, чи є у членів виконкому</w:t>
      </w:r>
      <w:r>
        <w:rPr>
          <w:rFonts w:ascii="Times New Roman" w:hAnsi="Times New Roman" w:cs="Times New Roman"/>
          <w:sz w:val="28"/>
          <w:szCs w:val="28"/>
        </w:rPr>
        <w:t xml:space="preserve"> пропозиції та доповнення по даному рішенню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06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706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О.Л.</w:t>
      </w:r>
      <w:r/>
    </w:p>
    <w:p>
      <w:pPr>
        <w:pStyle w:val="7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</w:t>
      </w:r>
      <w:r>
        <w:rPr>
          <w:sz w:val="28"/>
          <w:szCs w:val="28"/>
        </w:rPr>
        <w:t xml:space="preserve">поставив на голосування проєкт рішення - «Про заходи по наповненню бюджету Менської міської територіальної громади в 2022 році»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заходи по наповненню бюджету Менської міської територіальної громади в 2022 році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6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Гаєвого С.М. про необхідність внесення </w:t>
      </w:r>
      <w:r>
        <w:rPr>
          <w:rFonts w:eastAsia="Calibri"/>
          <w:sz w:val="28"/>
          <w:szCs w:val="28"/>
          <w:lang w:val="uk-UA"/>
        </w:rPr>
        <w:t xml:space="preserve">змін</w:t>
      </w:r>
      <w:r>
        <w:rPr>
          <w:rFonts w:eastAsia="Calibri"/>
          <w:sz w:val="28"/>
          <w:szCs w:val="28"/>
          <w:lang w:val="uk-UA"/>
        </w:rPr>
        <w:t xml:space="preserve"> до рішення виконавчого комітету від  26 березня 2021 року № 75 «Про затвердження Порядку створення, використання та поповнення матеріальних резер</w:t>
      </w:r>
      <w:r>
        <w:rPr>
          <w:rFonts w:eastAsia="Calibri"/>
          <w:sz w:val="28"/>
          <w:szCs w:val="28"/>
          <w:lang w:val="uk-UA"/>
        </w:rPr>
        <w:t xml:space="preserve">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роки», виклавши Додаток 2 до рішення «Номенклатура матеріальних</w:t>
      </w:r>
      <w:r>
        <w:rPr>
          <w:rFonts w:eastAsia="Calibri"/>
          <w:sz w:val="28"/>
          <w:szCs w:val="28"/>
          <w:lang w:val="uk-UA"/>
        </w:rPr>
        <w:t xml:space="preserve"> засобів для створення матеріального резерву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 в новій редакції</w:t>
      </w:r>
      <w:r>
        <w:rPr>
          <w:rFonts w:eastAsia="Calibri"/>
          <w:sz w:val="28"/>
          <w:szCs w:val="28"/>
          <w:lang w:val="uk-UA"/>
        </w:rPr>
        <w:t xml:space="preserve">.</w:t>
      </w:r>
      <w:r/>
    </w:p>
    <w:p>
      <w:pPr>
        <w:pStyle w:val="706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внесення змін до р</w:t>
      </w:r>
      <w:r>
        <w:rPr>
          <w:sz w:val="28"/>
          <w:szCs w:val="28"/>
          <w:lang w:val="uk-UA"/>
        </w:rPr>
        <w:t xml:space="preserve">ішення виконавчого комітету від 26 березня 2021 року №75 «Про затвердження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</w:t>
      </w:r>
      <w:r>
        <w:rPr>
          <w:sz w:val="28"/>
          <w:szCs w:val="28"/>
        </w:rPr>
        <w:t xml:space="preserve">наслідків на території Менської міської територіал</w:t>
      </w:r>
      <w:r>
        <w:rPr>
          <w:sz w:val="28"/>
          <w:szCs w:val="28"/>
        </w:rPr>
        <w:t xml:space="preserve">ьної громади на 2021-2022 роки</w:t>
      </w:r>
      <w:r>
        <w:rPr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р</w:t>
      </w:r>
      <w:r>
        <w:rPr>
          <w:sz w:val="28"/>
          <w:szCs w:val="28"/>
          <w:lang w:val="uk-UA"/>
        </w:rPr>
        <w:t xml:space="preserve">ішення виконавчого комітету від 26 березня 2021 року №75 «Про затвердження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</w:t>
      </w:r>
      <w:r>
        <w:rPr>
          <w:sz w:val="28"/>
          <w:szCs w:val="28"/>
        </w:rPr>
        <w:t xml:space="preserve">наслідків на території Менської міської територіал</w:t>
      </w:r>
      <w:r>
        <w:rPr>
          <w:sz w:val="28"/>
          <w:szCs w:val="28"/>
        </w:rPr>
        <w:t xml:space="preserve">ьної громади на 2021-2022 роки»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6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І.В. про </w:t>
      </w:r>
      <w:r>
        <w:rPr>
          <w:sz w:val="28"/>
          <w:szCs w:val="28"/>
          <w:lang w:val="uk-UA"/>
        </w:rPr>
        <w:t xml:space="preserve">підготовку та проведення</w:t>
      </w:r>
      <w:r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 визначення виконавця послуг з вивезення твердих побутових відходів на території Менської міської територіальної громади.</w:t>
      </w:r>
      <w:r>
        <w:rPr>
          <w:sz w:val="28"/>
          <w:szCs w:val="28"/>
          <w:lang w:val="uk-UA"/>
        </w:rPr>
        <w:t xml:space="preserve"> Ірина </w:t>
      </w:r>
      <w:r>
        <w:rPr>
          <w:sz w:val="28"/>
          <w:szCs w:val="28"/>
          <w:lang w:val="uk-UA"/>
        </w:rPr>
        <w:t xml:space="preserve">Валерії</w:t>
      </w:r>
      <w:r>
        <w:rPr>
          <w:sz w:val="28"/>
          <w:szCs w:val="28"/>
          <w:lang w:val="uk-UA"/>
        </w:rPr>
        <w:t xml:space="preserve">вна запропонувала затвердити </w:t>
      </w:r>
      <w:r>
        <w:rPr>
          <w:sz w:val="28"/>
          <w:szCs w:val="28"/>
          <w:lang w:val="uk-UA"/>
        </w:rPr>
        <w:t xml:space="preserve">конкурсну документація та утворити комісію для проведення конкурсу.</w:t>
      </w:r>
      <w:r/>
    </w:p>
    <w:p>
      <w:pPr>
        <w:pStyle w:val="706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</w:t>
      </w:r>
      <w:r>
        <w:rPr>
          <w:sz w:val="28"/>
          <w:szCs w:val="28"/>
          <w:lang w:val="uk-UA"/>
        </w:rPr>
        <w:t xml:space="preserve"> по даному питанню.</w:t>
      </w:r>
      <w:r>
        <w:rPr>
          <w:sz w:val="28"/>
          <w:szCs w:val="28"/>
        </w:rPr>
        <w:t xml:space="preserve"> Враховуючи, що </w:t>
      </w:r>
      <w:r>
        <w:rPr>
          <w:sz w:val="28"/>
          <w:szCs w:val="28"/>
          <w:lang w:val="uk-UA"/>
        </w:rPr>
        <w:t xml:space="preserve">запитань немає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конкурсу з визначення виконавця послуг з вивезення твердих побутових відходів на території Менської міської територіальної </w:t>
      </w:r>
      <w:r>
        <w:rPr>
          <w:sz w:val="28"/>
          <w:szCs w:val="28"/>
          <w:lang w:val="uk-UA"/>
        </w:rPr>
        <w:t xml:space="preserve">громади»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проведення конкурсу з визначення виконавця послуг з вивезення твердих побутових відходів на території Менської міської територіальної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27"/>
        <w:ind w:right="140"/>
        <w:jc w:val="both"/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Примаков Г.А. проінформував, що слідуюче питання порядку денного – про </w:t>
      </w:r>
      <w:r>
        <w:rPr>
          <w:sz w:val="28"/>
          <w:szCs w:val="28"/>
        </w:rPr>
        <w:t xml:space="preserve">надання дозволу</w:t>
      </w:r>
      <w:r>
        <w:rPr>
          <w:sz w:val="28"/>
          <w:szCs w:val="28"/>
        </w:rPr>
        <w:t xml:space="preserve"> ... на підключення водопроводу від міської водопровідної мережі до будинку... по вулиці Сіверський шлях в м. Мена.</w:t>
      </w:r>
      <w:r/>
    </w:p>
    <w:p>
      <w:pPr>
        <w:pStyle w:val="706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Головуючий поставив на голосування проєкт рішення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дозвіл на підключення водопроводу до будинку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68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Сіверський шлях в місті Мена.</w:t>
      </w:r>
      <w:r>
        <w:rPr>
          <w:color w:val="000000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дозвіл на підключення водопроводу до будинку №68 по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Сіверський шлях в місті Мена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</w:t>
      </w:r>
      <w:r>
        <w:rPr>
          <w:rFonts w:ascii="Times New Roman" w:hAnsi="Times New Roman" w:cs="Times New Roman"/>
          <w:sz w:val="28"/>
          <w:szCs w:val="28"/>
        </w:rPr>
        <w:t xml:space="preserve">юшкину Д.В.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організацію роботи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з проведення технічного обстеження пошкодженого об’єкту, а саме: будівлі Макошинської філії КЗ «Менський будинок культури Менської міської ради» за адресою смт Макошине, вул. Центральна, 5, який знаходиться на балансі Відділу культури,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із  залучення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фахівців, що мають відповідну кваліфікацію або  підприємств, установ та організацій, у складі яких є такі виконавці.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поставив</w:t>
      </w:r>
      <w:r>
        <w:rPr>
          <w:sz w:val="28"/>
          <w:szCs w:val="28"/>
          <w:lang w:val="uk-UA"/>
        </w:rPr>
        <w:t xml:space="preserve"> на голосування проект рішення - 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проведення технічного обстеже</w:t>
      </w:r>
      <w:r>
        <w:rPr>
          <w:sz w:val="28"/>
          <w:szCs w:val="28"/>
        </w:rPr>
        <w:t xml:space="preserve">ння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проведення технічного обстеже</w:t>
      </w:r>
      <w:r>
        <w:rPr>
          <w:sz w:val="28"/>
          <w:szCs w:val="28"/>
        </w:rPr>
        <w:t xml:space="preserve">ння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Люшину В.Л.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закріплення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 території обслуговування за закладами дошкільної та загальної середньої освіти Менської міської ради на 2022-2023 навчальний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  <w:t xml:space="preserve">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Головуючий </w:t>
      </w:r>
      <w:r>
        <w:rPr>
          <w:rFonts w:cs="Mangal" w:eastAsia="Calibri"/>
          <w:sz w:val="28"/>
          <w:szCs w:val="28"/>
          <w:lang w:bidi="hi-IN" w:eastAsia="hi-IN"/>
        </w:rPr>
        <w:t xml:space="preserve">постави</w:t>
      </w:r>
      <w:r>
        <w:rPr>
          <w:rFonts w:cs="Mangal" w:eastAsia="Calibri"/>
          <w:sz w:val="28"/>
          <w:szCs w:val="28"/>
          <w:lang w:bidi="hi-IN" w:eastAsia="hi-IN"/>
        </w:rPr>
        <w:t xml:space="preserve">в</w:t>
      </w:r>
      <w:r>
        <w:rPr>
          <w:rFonts w:cs="Mangal" w:eastAsia="Calibri"/>
          <w:sz w:val="28"/>
          <w:szCs w:val="28"/>
          <w:lang w:bidi="hi-IN" w:eastAsia="hi-IN"/>
        </w:rPr>
        <w:t xml:space="preserve"> на голосування проєкт рішення </w:t>
      </w:r>
      <w:r>
        <w:rPr>
          <w:rFonts w:cs="Mangal" w:eastAsia="Calibri"/>
          <w:sz w:val="28"/>
          <w:szCs w:val="28"/>
          <w:lang w:bidi="hi-IN" w:eastAsia="hi-IN"/>
        </w:rPr>
        <w:t xml:space="preserve">«</w:t>
      </w:r>
      <w:r>
        <w:rPr>
          <w:sz w:val="28"/>
          <w:szCs w:val="28"/>
        </w:rPr>
        <w:t xml:space="preserve">Про закріплення території обслуговування за закладами дошкільної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</w:t>
      </w:r>
      <w:r>
        <w:rPr>
          <w:sz w:val="28"/>
          <w:szCs w:val="28"/>
        </w:rPr>
        <w:t xml:space="preserve">іти на 2022-2023 навчальний рік</w:t>
      </w:r>
      <w:r>
        <w:rPr>
          <w:rFonts w:eastAsia="Calibri"/>
          <w:sz w:val="28"/>
          <w:szCs w:val="28"/>
          <w:lang w:bidi="hi-IN" w:eastAsia="hi-IN"/>
        </w:rPr>
        <w:t xml:space="preserve">»</w:t>
      </w:r>
      <w:r>
        <w:rPr>
          <w:rFonts w:eastAsia="Calibri"/>
          <w:sz w:val="28"/>
          <w:szCs w:val="28"/>
          <w:lang w:val="uk-UA"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закріплення території обслуговування за закладами дошкільної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осв</w:t>
      </w:r>
      <w:r>
        <w:rPr>
          <w:sz w:val="28"/>
          <w:szCs w:val="28"/>
        </w:rPr>
        <w:t xml:space="preserve">іти на 2022-2023 навчальний рік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 М.В., яка запропонувала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атвердити План дій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із забезпечення рівних прав і можливостей жінок та чоловіків на 2022-2024 роки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Головуючий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на голосування проєкт рішення «</w:t>
      </w:r>
      <w:r>
        <w:rPr>
          <w:sz w:val="28"/>
          <w:szCs w:val="28"/>
        </w:rPr>
        <w:t xml:space="preserve">Про затвердження Плану дій Менської міської ради із 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рівних прав і можливостей жінок</w:t>
      </w:r>
      <w:r>
        <w:rPr>
          <w:sz w:val="28"/>
          <w:szCs w:val="28"/>
        </w:rPr>
        <w:t xml:space="preserve"> та чоловіків на 2022-2024 роки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затвердження Плану дій Менської міської ради із 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рівних прав і можливостей жінок</w:t>
      </w:r>
      <w:r>
        <w:rPr>
          <w:sz w:val="28"/>
          <w:szCs w:val="28"/>
        </w:rPr>
        <w:t xml:space="preserve"> та чоловіків на 2022-2024 роки</w:t>
      </w:r>
      <w:r>
        <w:rPr>
          <w:sz w:val="28"/>
          <w:szCs w:val="28"/>
        </w:rPr>
        <w:t xml:space="preserve">» - приймається (додається).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Примаков Г.А. проінформував, що слідуюче питання порядку денного засідання -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 надання соціальних послуг в КУ «Територіальний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обслуговування (надання соціальних послуг)»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Світлана Анатоліївна повідомила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наявний </w:t>
      </w:r>
      <w:r>
        <w:rPr>
          <w:sz w:val="28"/>
          <w:szCs w:val="28"/>
        </w:rPr>
        <w:t xml:space="preserve">конфлікт інтересів</w:t>
      </w:r>
      <w:r>
        <w:rPr>
          <w:sz w:val="28"/>
          <w:szCs w:val="28"/>
          <w:lang w:val="uk-UA"/>
        </w:rPr>
        <w:t xml:space="preserve"> і, що вона не буде</w:t>
      </w:r>
      <w:r>
        <w:rPr>
          <w:sz w:val="28"/>
          <w:szCs w:val="28"/>
          <w:lang w:val="uk-UA"/>
        </w:rPr>
        <w:t xml:space="preserve"> брати участь у прийнятті 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 вказаному питанню</w:t>
      </w:r>
      <w:r>
        <w:rPr>
          <w:sz w:val="28"/>
          <w:szCs w:val="28"/>
          <w:lang w:val="uk-UA"/>
        </w:rPr>
        <w:t xml:space="preserve"> (зокрема, в розгляді, обговоренні та голосуванні).</w:t>
      </w:r>
      <w:r/>
    </w:p>
    <w:p>
      <w:pPr>
        <w:pStyle w:val="702"/>
        <w:jc w:val="both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М.В., яка запропонувала з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атвердити 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лютого 2022 року по 18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bidi="hi-IN" w:eastAsia="hi-IN"/>
        </w:rPr>
        <w:t xml:space="preserve"> травня 2022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та 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bidi="hi-IN" w:eastAsia="hi-IN"/>
        </w:rPr>
        <w:t xml:space="preserve">08 квітня 2022 року по 02 травня 2022 року 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постави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на голосування проєкт рішення «</w:t>
      </w:r>
      <w:r>
        <w:rPr>
          <w:sz w:val="28"/>
          <w:szCs w:val="28"/>
        </w:rPr>
        <w:t xml:space="preserve">Про надання соціальних послуг в КУ «Територіальний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обслуговування (надання соціальних послуг)»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(Солохненко С.А., Прищепа В.В.)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надання соціальних послуг в КУ «Територіальний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обслуговування (надання соціальних послуг)»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02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Скирту О.В. про </w:t>
      </w:r>
      <w:r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внесення змін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 до рішення виконавчого комітету Менської міської ради від 26 березня 2021 року №82 «Про створення комісії з визначення розміру збитків, заподіяних власни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кам землі землекористувачам»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, </w:t>
      </w:r>
      <w:r/>
    </w:p>
    <w:p>
      <w:pPr>
        <w:pStyle w:val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затвердивши склад комісії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  <w:r>
        <w:rPr>
          <w:rFonts w:cs="Mangal" w:eastAsia="Calibri"/>
          <w:sz w:val="28"/>
          <w:szCs w:val="28"/>
          <w:lang w:bidi="hi-IN" w:eastAsia="hi-IN"/>
        </w:rPr>
        <w:t xml:space="preserve">постави</w:t>
      </w:r>
      <w:r>
        <w:rPr>
          <w:rFonts w:cs="Mangal" w:eastAsia="Calibri"/>
          <w:sz w:val="28"/>
          <w:szCs w:val="28"/>
          <w:lang w:bidi="hi-IN" w:eastAsia="hi-IN"/>
        </w:rPr>
        <w:t xml:space="preserve">в</w:t>
      </w:r>
      <w:r>
        <w:rPr>
          <w:rFonts w:cs="Mangal" w:eastAsia="Calibri"/>
          <w:sz w:val="28"/>
          <w:szCs w:val="28"/>
          <w:lang w:bidi="hi-IN" w:eastAsia="hi-IN"/>
        </w:rPr>
        <w:t xml:space="preserve"> на голосування проєкт рішення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- </w:t>
      </w:r>
      <w:r>
        <w:rPr>
          <w:rFonts w:cs="Mangal" w:eastAsia="Calibri"/>
          <w:sz w:val="28"/>
          <w:szCs w:val="28"/>
          <w:lang w:bidi="hi-IN" w:eastAsia="hi-IN"/>
        </w:rPr>
        <w:t xml:space="preserve">«</w:t>
      </w:r>
      <w:r>
        <w:rPr>
          <w:sz w:val="28"/>
          <w:szCs w:val="28"/>
        </w:rPr>
        <w:t xml:space="preserve">Про внесення змін до рішення виконавчого комітету від 26 березня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року №82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внесення змін до рішення виконавчого комітету від 26 березня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року №82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прийняття рішення про припинення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оперативного управління Комунального некомерційного підприємства «Менська міська лікарня»  Менської міської ради на рухоме майно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саме: </w:t>
      </w:r>
      <w:r>
        <w:rPr>
          <w:rFonts w:ascii="Times New Roman" w:hAnsi="Times New Roman" w:cs="Times New Roman"/>
          <w:bCs/>
          <w:sz w:val="28"/>
          <w:szCs w:val="28"/>
        </w:rPr>
        <w:t xml:space="preserve">ліжко.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 </w:t>
      </w:r>
      <w:r>
        <w:rPr>
          <w:sz w:val="28"/>
          <w:szCs w:val="28"/>
        </w:rPr>
        <w:t xml:space="preserve">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</w:t>
      </w:r>
      <w:r>
        <w:rPr>
          <w:sz w:val="28"/>
          <w:szCs w:val="28"/>
        </w:rPr>
        <w:t xml:space="preserve">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припинення права оперативного управління майном КНП </w:t>
      </w:r>
      <w:r>
        <w:rPr>
          <w:sz w:val="28"/>
          <w:szCs w:val="28"/>
          <w:lang w:val="uk-UA"/>
        </w:rPr>
        <w:t xml:space="preserve">«Менська міська лікарня</w:t>
      </w:r>
      <w:r>
        <w:rPr>
          <w:sz w:val="28"/>
          <w:szCs w:val="28"/>
          <w:lang w:val="uk-UA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припинення права оперативного управління майном КНП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«Менська міська лікарня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Марцеву Т.І. про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передачу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господарське відання Комунальному підприємству «Менакомунпослуга» Менської міської ради майно, що отримане від Програми DOBRE (Децентралізація приносить кращі результати)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обільна збірно-розбірна сцена (розміри: 10мх8м висота 6м)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</w:t>
      </w:r>
      <w:r>
        <w:rPr>
          <w:rFonts w:ascii="Times New Roman" w:hAnsi="Times New Roman" w:cs="Times New Roman"/>
          <w:sz w:val="28"/>
          <w:szCs w:val="28"/>
        </w:rPr>
        <w:t xml:space="preserve">е відання КП “Менакомунпослуга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8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</w:t>
      </w:r>
      <w:r>
        <w:rPr>
          <w:rFonts w:ascii="Times New Roman" w:hAnsi="Times New Roman" w:cs="Times New Roman"/>
          <w:sz w:val="28"/>
          <w:szCs w:val="28"/>
        </w:rPr>
        <w:t xml:space="preserve">е відання КП “Менакомунпослуга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32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Васильчук О.М. про </w:t>
      </w:r>
      <w:r>
        <w:rPr>
          <w:rFonts w:ascii="Times New Roman" w:hAnsi="Times New Roman"/>
          <w:sz w:val="28"/>
          <w:szCs w:val="28"/>
        </w:rPr>
        <w:t xml:space="preserve">взяття</w:t>
      </w:r>
      <w:r>
        <w:rPr>
          <w:rFonts w:ascii="Times New Roman" w:hAnsi="Times New Roman"/>
          <w:sz w:val="28"/>
          <w:szCs w:val="28"/>
        </w:rPr>
        <w:t xml:space="preserve"> з 20 травня 2022 року на квартирний облік для одержання житла поза чергою Білоус Наталію Анатоліївну,....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дитину, позбавлену батьківського піклування</w:t>
      </w:r>
      <w:r>
        <w:rPr>
          <w:rFonts w:ascii="Times New Roman" w:hAnsi="Times New Roman"/>
          <w:sz w:val="28"/>
          <w:szCs w:val="28"/>
        </w:rPr>
        <w:t xml:space="preserve">, яка зареєстрована за адресою: .... Чернігівської області, як таку що потребує поліпшення житлових умов, з включенням її до списку осіб для позачергового одержання житла.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постави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 рішення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 взяття на квартирний облік дитини, позбавленої батьківського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 дитини, позбавленої батьківського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2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Васильчук О.М. про </w:t>
      </w:r>
      <w:r>
        <w:rPr>
          <w:sz w:val="28"/>
          <w:szCs w:val="28"/>
          <w:lang w:eastAsia="ru-RU"/>
        </w:rPr>
        <w:t xml:space="preserve">затвердження висновку</w:t>
      </w:r>
      <w:r>
        <w:rPr>
          <w:sz w:val="28"/>
          <w:szCs w:val="28"/>
          <w:lang w:eastAsia="ru-RU"/>
        </w:rPr>
        <w:t xml:space="preserve"> про доцільність позбав</w:t>
      </w:r>
      <w:r>
        <w:rPr>
          <w:sz w:val="28"/>
          <w:szCs w:val="28"/>
          <w:lang w:eastAsia="ru-RU"/>
        </w:rPr>
        <w:t xml:space="preserve">лення батьківських прав ..... року народження, жителя ...., Ніжинського району, Чернігівської області відносно малолітньої дитини ..... року народження.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2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Васильчук О.М. про затвердження висновку с</w:t>
      </w:r>
      <w:r>
        <w:rPr>
          <w:sz w:val="28"/>
          <w:szCs w:val="28"/>
        </w:rPr>
        <w:t xml:space="preserve">лужби у справах дітей Менської міської ради про </w:t>
      </w:r>
      <w:r>
        <w:rPr>
          <w:rStyle w:val="733"/>
          <w:sz w:val="28"/>
          <w:szCs w:val="28"/>
        </w:rPr>
        <w:t xml:space="preserve">підтвердження місця проживання </w:t>
      </w:r>
      <w:r>
        <w:rPr>
          <w:sz w:val="28"/>
          <w:szCs w:val="28"/>
        </w:rPr>
        <w:t xml:space="preserve">неповнолітньої дитини ...... року народження</w:t>
      </w:r>
      <w:r>
        <w:rPr>
          <w:rStyle w:val="733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разом з батьком </w:t>
      </w:r>
      <w:r>
        <w:rPr>
          <w:rStyle w:val="733"/>
          <w:sz w:val="28"/>
          <w:szCs w:val="28"/>
        </w:rPr>
        <w:t xml:space="preserve">....., який самостійно займається її вихованням.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постави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на голосування </w:t>
      </w:r>
      <w:bookmarkStart w:id="8" w:name="_GoBack"/>
      <w:r/>
      <w:bookmarkEnd w:id="8"/>
      <w:r>
        <w:rPr>
          <w:sz w:val="28"/>
          <w:szCs w:val="28"/>
        </w:rPr>
        <w:t xml:space="preserve">проєкт рішення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затвердження висновку c</w:t>
      </w:r>
      <w:r>
        <w:rPr>
          <w:sz w:val="28"/>
          <w:szCs w:val="28"/>
        </w:rPr>
        <w:t xml:space="preserve">лужби у справах дітей 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підтвердження місця п</w:t>
      </w:r>
      <w:r>
        <w:rPr>
          <w:sz w:val="28"/>
          <w:szCs w:val="28"/>
        </w:rPr>
        <w:t xml:space="preserve">роживання неповнолітньої дитини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0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затвердження висновку c</w:t>
      </w:r>
      <w:r>
        <w:rPr>
          <w:sz w:val="28"/>
          <w:szCs w:val="28"/>
        </w:rPr>
        <w:t xml:space="preserve">лужби у справах дітей 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підтвердження місця п</w:t>
      </w:r>
      <w:r>
        <w:rPr>
          <w:sz w:val="28"/>
          <w:szCs w:val="28"/>
        </w:rPr>
        <w:t xml:space="preserve">роживання неповнолітньої дитини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70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70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09793871"/>
      <w:docPartObj>
        <w:docPartGallery w:val="Page Numbers (Top of Page)"/>
        <w:docPartUnique w:val="true"/>
      </w:docPartObj>
      <w:rPr/>
    </w:sdtPr>
    <w:sdtContent>
      <w:p>
        <w:pPr>
          <w:pStyle w:val="72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9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7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96"/>
    <w:next w:val="6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96"/>
    <w:next w:val="6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96"/>
    <w:next w:val="6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8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8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8"/>
    <w:link w:val="728"/>
    <w:uiPriority w:val="99"/>
  </w:style>
  <w:style w:type="character" w:styleId="43">
    <w:name w:val="Footer Char"/>
    <w:basedOn w:val="698"/>
    <w:link w:val="730"/>
    <w:uiPriority w:val="99"/>
  </w:style>
  <w:style w:type="paragraph" w:styleId="44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0"/>
    <w:uiPriority w:val="99"/>
  </w:style>
  <w:style w:type="table" w:styleId="47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8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8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qFormat/>
    <w:rPr>
      <w:lang w:val="uk-UA"/>
    </w:rPr>
    <w:pPr>
      <w:spacing w:lineRule="auto" w:line="259" w:after="160"/>
    </w:pPr>
  </w:style>
  <w:style w:type="paragraph" w:styleId="697">
    <w:name w:val="Heading 1"/>
    <w:basedOn w:val="696"/>
    <w:link w:val="72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698" w:default="1">
    <w:name w:val="Default Paragraph Font"/>
    <w:uiPriority w:val="1"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List Paragraph"/>
    <w:basedOn w:val="696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03" w:customStyle="1">
    <w:name w:val="docdata"/>
    <w:basedOn w:val="69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04">
    <w:name w:val="Balloon Text"/>
    <w:basedOn w:val="696"/>
    <w:link w:val="7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05" w:customStyle="1">
    <w:name w:val="Текст у виносці Знак"/>
    <w:basedOn w:val="698"/>
    <w:link w:val="70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06">
    <w:name w:val="Normal (Web)"/>
    <w:basedOn w:val="69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07" w:customStyle="1">
    <w:name w:val="rvps2"/>
    <w:basedOn w:val="69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08" w:customStyle="1">
    <w:name w:val="3748"/>
    <w:basedOn w:val="698"/>
  </w:style>
  <w:style w:type="character" w:styleId="709" w:customStyle="1">
    <w:name w:val="1376"/>
    <w:basedOn w:val="698"/>
  </w:style>
  <w:style w:type="character" w:styleId="710" w:customStyle="1">
    <w:name w:val="1307"/>
    <w:basedOn w:val="698"/>
  </w:style>
  <w:style w:type="character" w:styleId="711" w:customStyle="1">
    <w:name w:val="2434"/>
    <w:basedOn w:val="698"/>
  </w:style>
  <w:style w:type="character" w:styleId="712" w:customStyle="1">
    <w:name w:val="3260"/>
    <w:basedOn w:val="698"/>
  </w:style>
  <w:style w:type="character" w:styleId="713" w:customStyle="1">
    <w:name w:val="Heading 3 Char"/>
    <w:basedOn w:val="698"/>
    <w:link w:val="714"/>
    <w:uiPriority w:val="9"/>
    <w:rPr>
      <w:rFonts w:ascii="Arial" w:hAnsi="Arial" w:cs="Arial" w:eastAsia="Arial"/>
      <w:sz w:val="30"/>
      <w:szCs w:val="30"/>
    </w:rPr>
  </w:style>
  <w:style w:type="paragraph" w:styleId="714" w:customStyle="1">
    <w:name w:val="Заголовок 31"/>
    <w:basedOn w:val="696"/>
    <w:next w:val="696"/>
    <w:link w:val="71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5" w:customStyle="1">
    <w:name w:val="Heading 6 Char"/>
    <w:basedOn w:val="698"/>
    <w:link w:val="716"/>
    <w:uiPriority w:val="9"/>
    <w:rPr>
      <w:rFonts w:ascii="Arial" w:hAnsi="Arial" w:cs="Arial" w:eastAsia="Arial"/>
      <w:b/>
      <w:bCs/>
    </w:rPr>
  </w:style>
  <w:style w:type="paragraph" w:styleId="716" w:customStyle="1">
    <w:name w:val="Заголовок 61"/>
    <w:basedOn w:val="696"/>
    <w:next w:val="696"/>
    <w:link w:val="71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7" w:customStyle="1">
    <w:name w:val="2189"/>
    <w:basedOn w:val="698"/>
  </w:style>
  <w:style w:type="character" w:styleId="718" w:customStyle="1">
    <w:name w:val="1568"/>
    <w:basedOn w:val="698"/>
  </w:style>
  <w:style w:type="character" w:styleId="719" w:customStyle="1">
    <w:name w:val="3431"/>
    <w:basedOn w:val="698"/>
  </w:style>
  <w:style w:type="character" w:styleId="720" w:customStyle="1">
    <w:name w:val="3174"/>
    <w:basedOn w:val="698"/>
  </w:style>
  <w:style w:type="character" w:styleId="721">
    <w:name w:val="Strong"/>
    <w:basedOn w:val="698"/>
    <w:qFormat/>
    <w:uiPriority w:val="22"/>
    <w:rPr>
      <w:b/>
      <w:bCs/>
    </w:rPr>
  </w:style>
  <w:style w:type="paragraph" w:styleId="72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23" w:customStyle="1">
    <w:name w:val="4679"/>
    <w:basedOn w:val="69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24" w:customStyle="1">
    <w:name w:val="Заголовок 1 Знак"/>
    <w:basedOn w:val="698"/>
    <w:link w:val="697"/>
    <w:rPr>
      <w:rFonts w:ascii="Times New Roman" w:hAnsi="Times New Roman" w:cs="Times New Roman" w:eastAsia="Times New Roman"/>
      <w:b/>
      <w:bCs/>
      <w:lang w:eastAsia="ru-RU"/>
    </w:rPr>
  </w:style>
  <w:style w:type="table" w:styleId="725">
    <w:name w:val="Table Grid"/>
    <w:basedOn w:val="69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26" w:customStyle="1">
    <w:name w:val="6062"/>
    <w:basedOn w:val="698"/>
  </w:style>
  <w:style w:type="paragraph" w:styleId="727" w:customStyle="1">
    <w:name w:val="Обычный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tLeast" w:line="100" w:after="0"/>
    </w:pPr>
  </w:style>
  <w:style w:type="paragraph" w:styleId="728">
    <w:name w:val="Header"/>
    <w:basedOn w:val="696"/>
    <w:link w:val="72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29" w:customStyle="1">
    <w:name w:val="Верхній колонтитул Знак"/>
    <w:basedOn w:val="698"/>
    <w:link w:val="728"/>
    <w:uiPriority w:val="99"/>
    <w:rPr>
      <w:lang w:val="uk-UA"/>
    </w:rPr>
  </w:style>
  <w:style w:type="paragraph" w:styleId="730">
    <w:name w:val="Footer"/>
    <w:basedOn w:val="696"/>
    <w:link w:val="73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31" w:customStyle="1">
    <w:name w:val="Нижній колонтитул Знак"/>
    <w:basedOn w:val="698"/>
    <w:link w:val="730"/>
    <w:uiPriority w:val="99"/>
    <w:rPr>
      <w:lang w:val="uk-UA"/>
    </w:rPr>
  </w:style>
  <w:style w:type="paragraph" w:styleId="732" w:customStyle="1">
    <w:name w:val="Абзац списка"/>
    <w:basedOn w:val="727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6" w:after="160"/>
    </w:pPr>
  </w:style>
  <w:style w:type="character" w:styleId="733" w:customStyle="1">
    <w:name w:val="1840;baiaagaaboqcaaadkquaaau3bqaaaaaa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23A33AE-23F3-4E26-8C09-960E2279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78</cp:revision>
  <dcterms:created xsi:type="dcterms:W3CDTF">2022-05-20T08:20:00Z</dcterms:created>
  <dcterms:modified xsi:type="dcterms:W3CDTF">2022-09-16T16:25:30Z</dcterms:modified>
</cp:coreProperties>
</file>