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ind w:left="5669" w:right="0" w:firstLine="0"/>
        <w:spacing w:lineRule="auto" w:line="240" w:after="0" w:afterAutospacing="0"/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uk-UA"/>
        </w:rPr>
        <w:t xml:space="preserve">Додаток 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pStyle w:val="902"/>
        <w:ind w:left="5669" w:right="0" w:firstLine="0"/>
        <w:spacing w:lineRule="auto" w:line="240" w:after="0" w:afterAutospacing="0"/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uk-UA"/>
        </w:rPr>
        <w:t xml:space="preserve">до рішення 19 сесії Менської міської р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uk-UA"/>
        </w:rPr>
        <w:t xml:space="preserve">ди 8 скликання </w:t>
      </w:r>
      <w:r>
        <w:rPr>
          <w:color w:val="000000" w:themeColor="text1"/>
        </w:rPr>
      </w:r>
    </w:p>
    <w:p>
      <w:pPr>
        <w:pStyle w:val="902"/>
        <w:ind w:left="5669" w:right="0" w:firstLine="0"/>
        <w:spacing w:lineRule="auto" w:line="240" w:after="0" w:afterAutospacing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uk-UA"/>
        </w:rPr>
        <w:t xml:space="preserve">27 травня 2022 року № </w:t>
      </w:r>
      <w:r>
        <w:rPr>
          <w:color w:val="000000" w:themeColor="text1"/>
          <w:sz w:val="28"/>
        </w:rPr>
        <w:t xml:space="preserve">152</w:t>
      </w:r>
      <w:r>
        <w:rPr>
          <w:color w:val="000000" w:themeColor="text1"/>
        </w:rPr>
      </w:r>
    </w:p>
    <w:p>
      <w:pPr>
        <w:pStyle w:val="851"/>
        <w:ind w:firstLine="570"/>
        <w:jc w:val="center"/>
        <w:spacing w:lineRule="auto" w:line="240" w:after="0" w:afterAutospacing="0" w:before="0" w:beforeAutospacing="0"/>
        <w:shd w:val="clear" w:fill="FFFFFF" w:color="auto"/>
        <w:rPr>
          <w:color w:val="000000" w:themeColor="text1"/>
          <w:sz w:val="28"/>
          <w:szCs w:val="18"/>
        </w:rPr>
      </w:pPr>
      <w:r>
        <w:rPr>
          <w:rStyle w:val="852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pStyle w:val="851"/>
        <w:ind w:firstLine="570"/>
        <w:jc w:val="center"/>
        <w:spacing w:lineRule="auto" w:line="240" w:after="0" w:afterAutospacing="0" w:before="0" w:beforeAutospacing="0"/>
        <w:shd w:val="clear" w:fill="FFFFFF" w:color="auto"/>
        <w:rPr>
          <w:rStyle w:val="852"/>
          <w:b/>
          <w:color w:val="000000" w:themeColor="text1"/>
          <w:sz w:val="28"/>
          <w:szCs w:val="28"/>
          <w:highlight w:val="none"/>
        </w:rPr>
      </w:pPr>
      <w:r>
        <w:rPr>
          <w:rStyle w:val="852"/>
          <w:b/>
          <w:color w:val="000000" w:themeColor="text1"/>
          <w:sz w:val="28"/>
          <w:szCs w:val="28"/>
        </w:rPr>
        <w:t xml:space="preserve">Порядок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pStyle w:val="853"/>
        <w:ind w:firstLine="570"/>
        <w:jc w:val="center"/>
        <w:spacing w:lineRule="auto" w:line="240" w:after="0" w:afterAutospacing="0" w:before="0" w:beforeAutospacing="0"/>
        <w:shd w:val="clear" w:fill="FFFFFF" w:color="auto"/>
        <w:rPr>
          <w:b/>
          <w:color w:val="000000" w:themeColor="text1"/>
          <w:sz w:val="28"/>
          <w:szCs w:val="18"/>
        </w:rPr>
      </w:pPr>
      <w:r>
        <w:rPr>
          <w:rStyle w:val="852"/>
          <w:b/>
          <w:color w:val="000000" w:themeColor="text1"/>
          <w:sz w:val="28"/>
          <w:szCs w:val="28"/>
        </w:rPr>
        <w:t xml:space="preserve">проведення громадського обговорення </w:t>
      </w:r>
      <w:r>
        <w:rPr>
          <w:rStyle w:val="852"/>
          <w:b/>
          <w:color w:val="000000" w:themeColor="text1"/>
          <w:sz w:val="28"/>
          <w:szCs w:val="28"/>
        </w:rPr>
        <w:t xml:space="preserve">кандидатури старости в </w:t>
      </w:r>
      <w:r>
        <w:rPr>
          <w:rStyle w:val="852"/>
          <w:b/>
          <w:color w:val="000000" w:themeColor="text1"/>
          <w:sz w:val="28"/>
          <w:szCs w:val="28"/>
        </w:rPr>
        <w:t xml:space="preserve">старостинських</w:t>
      </w:r>
      <w:r>
        <w:rPr>
          <w:rStyle w:val="852"/>
          <w:b/>
          <w:color w:val="000000" w:themeColor="text1"/>
          <w:sz w:val="28"/>
          <w:szCs w:val="28"/>
        </w:rPr>
        <w:t xml:space="preserve"> округах </w:t>
      </w:r>
      <w:r>
        <w:rPr>
          <w:rStyle w:val="852"/>
          <w:b/>
          <w:color w:val="000000" w:themeColor="text1"/>
          <w:sz w:val="28"/>
          <w:szCs w:val="28"/>
        </w:rPr>
        <w:t xml:space="preserve">Менської </w:t>
      </w:r>
      <w:r>
        <w:rPr>
          <w:rStyle w:val="852"/>
          <w:b/>
          <w:color w:val="000000" w:themeColor="text1"/>
          <w:sz w:val="28"/>
          <w:szCs w:val="28"/>
        </w:rPr>
        <w:t xml:space="preserve">міської територіальної громади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pStyle w:val="856"/>
        <w:ind w:firstLine="570"/>
        <w:jc w:val="center"/>
        <w:spacing w:lineRule="auto" w:line="240" w:after="0" w:afterAutospacing="0" w:before="0" w:beforeAutospacing="0"/>
        <w:shd w:val="clear" w:fill="FFFFFF" w:color="auto"/>
        <w:rPr>
          <w:color w:val="000000" w:themeColor="text1"/>
          <w:sz w:val="28"/>
          <w:szCs w:val="18"/>
        </w:rPr>
      </w:pPr>
      <w:r>
        <w:rPr>
          <w:color w:val="000000" w:themeColor="text1"/>
          <w:sz w:val="28"/>
          <w:szCs w:val="18"/>
        </w:rPr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b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1.Загальні положення</w:t>
      </w:r>
      <w:r>
        <w:rPr>
          <w:b/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1.1. Поря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док проведення громадського обговорення кандидатури старости в старостинських округах Менської міської територіальної громади (далі – Порядок) встановлює процедуру організації, проведення та встановлення результатів громадського обговорення з питань, перед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бачених Законом України «Про місцеве самоврядування в Україні» щодо затвердження на посаді старост (далі - Громадське обговорення).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1.2. Даний Порядо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 розроблений відповідно до Закону України «Про місцеве самоврядування в Україні» і є механізмом реалізації законних прав мешканців старостинських округів Менської міської територіальної громади (далі - громади) на участь у громадському обговоренні кандида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тур на посаду старости.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1.3. Метою Громадського обговорення є визначення рівня підтримки кандидатури старости старостинського округу міської територіальної громади.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1.4. Основним завданням Громадського обговорення є погодження з жителями відповідного старостинського округу кандидатури старости.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1.5.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Громадському обговоренні можуть брати участь жителі відповідного старост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инського округу - громадяни України, яким на день проведення Громадського обговорення виповнилося 18 років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 які зареєстровані у населеному пункті відповідного старостинського округу Менської територіальної громади (далі - мешканці),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де проводиться обговорення, відповідно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до даних реєстру територіальних громад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1.5.1. Під час проведення громадського обговорення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період дії надзвичайної ситуації, надзвичайного стану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спри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чинених спалахами епідемій та пандемій, що створюють загрозу життю і здоров'ю значних верств населення та введення такого стану відповідного до законодавства на всій території України або окремих територіях (далі - надзвичайний стан, надзвичайна ситуація)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або під час дії во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єнного стану в Україні (далі -воєнний стан), беруться дані про кількість мешканців відповідно до даних з реєстру територіальних гро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мад, станом на 01 січня року, в якому проводяться громадські обговорення. За відсутності доступу до реєстру територіальних громад, дані про кількість мешканців визначається за іншими офіційними даними, які є у розпорядженні органу місцевого самоврядування.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1.6. Громадське обговорення має відкритий характер, проводиться на засадах добровільності, гласності та свободи висловлювань. Ніхто не може бути примушений до участі або обмежений в участі при проведенні Громадського обговорення.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2. Організація Громадського обговорення</w:t>
      </w:r>
      <w:r>
        <w:rPr>
          <w:b/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2.1. Громадське обговорення відбувається у вигляді вивчення громадської думки щодо підтримки кандидатури старости та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публічного громадського обговорення. Публічне громадське обговорення передбачає організацію та проведення громадських слухань та відкритих зустрічей з громадськістю (жителями, які можуть брати участь у 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бговоренні відповідно до пункту 1.5 цього Порядку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(з підпунктом)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).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разі дії надзвичайної ситуації, надзвичайного стану в громаді/Україні або воєнного стану в Україні (в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період введення воєнного стану) публічне громадське обговорення передбачає (обмежується) тільки зустрічі з громадськістю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(жителями, які можуть брати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участь у обговоренні відповідно до пункту 1.5 цього Порядку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(з підпунктом)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).</w:t>
      </w: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2.2 Кандидатура старости вноситься на Громадське обговорення міським головою, про що ним приймається відповідне розпорядження.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2.3. Організацію Громадських обговорень забезпечує організаційний комітет, склад якого затверджується міським головою. 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2.4. Засідання оргкомітету проводиться в міру необхідності та вважаються правомочними за присутності 2/3 його складу.</w:t>
      </w:r>
      <w:r>
        <w:rPr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період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дії надзвичайної ситуації, надзвичайного стану в громаді/Україні або воєнного стану в Україні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засідання оргкомітету проводяться в міру необхідності та вважаються правомочними за присутності більше половини його складу.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2.4.1.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період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дії надзвичайної ситуації, надзвичайного стану в громаді/Україні або воєнного стану в Україні д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опускається проведення засідання організаційного комітету в режимі відеоконференції/аудіоконференції, під час якого забезпечується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можливість реалізації прав членів організаційного комітету; проводиться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ідентифікація особи, яка бере участь у засіданні; встановлюється та фіксуються результати голосування.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54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 Засідання оргкомітету протоколюються та підписуються його головою та усіма присутніми його членами.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2.6. Організаційний комітет: 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2.6.1. Забезпечує належне інформування жителів старостинського округу про проведення Громадського обговорення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(з урахуванням обмежень в період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дії надзвичайної ситуації, надзвичайного стану в громаді/Україні або воєнного стану в Україні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).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67"/>
        <w:spacing w:lineRule="auto" w:line="240" w:after="0" w:afterAutospacing="0" w:before="0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2.6.2. Організовує відкриту зустріч жителів відповідного старостинського округу з кандидатом на посаду старости.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2.6.3. Проводить опитування жителів та громадські слухання,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готує звіт та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підсумковий протокол про результати Громадського обговорення.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2.6.4. Узагальнює та оприлюднює результати Громадського обговорення.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2.6.5 Вирішує інші організаційно - технічні питання, що стосуються проведення Громадського обговорення.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shd w:val="nil" w:color="auto"/>
        <w:rPr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br w:type="page"/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b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3. Проведення Громадського обговорення</w:t>
      </w:r>
      <w:r>
        <w:rPr>
          <w:b/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3.1 Громадське обговорення проводиться 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чотири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етапи: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 етап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проведення відкритих зустрічей кандидата на посаду старости з громадськістю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(жителями, які можуть брати участь у обговоренні відповідно до пункту 1.5 цього порядку);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II етап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визначення в старостинському окрузі рівня підтримки запропонованої кандидатури старости.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ІIІ етап - громадські слухання щодо підтримки запропонованої кандидатури старости (крім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періоду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дії надзвичайної ситуації, надзвичайного стану в громаді/Україні або воєнного стану в Україні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);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IV етап - підготовка звіту та проведення підсумкового засідан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ня організаційного комітету про результати Громадського обговорення.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3.2. Інформація про дату, час та місце проведення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відкритої зустрічі жителів відповідного старостинського округу з кандидатом на посаду старости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та проведення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громадського обговорення публікується на офіційному веб-сайті міської ради, в газеті «Наше слово» та розміщується на інфор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маційних стендах в населених пунктах старостинського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округу не пізніше, як за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10 (десять)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днів до вст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ановленої дати їх проведення.</w:t>
      </w:r>
      <w:r>
        <w:rPr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3.2.1. В період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дії надзвичайної ситуації, надзвичайного стану в громаді/Україні або воєнного стану в Україні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інформація про дату, час та місце проведення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відкритої зустрічі жителів відповідного старостинського округу з кандидатом на посаду старости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публікується на офіційному веб-сайті міської ради та розміщується на інфор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маційних стендах в населених пунктах старостинського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округу не пізніше, як за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 (три)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дні до вст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ановленої дати проведення.</w:t>
      </w: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3.2.2. Інформація про кандидата на посаду старости (представлення) розміщується на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офіційному веб-сайті міської ради та на інфор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маційних стендах в населених пунктах старостинського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округу не пізніше, як за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 (три)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дні до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дати проведення відкритої зустрічі.</w:t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3.3.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Відкриті зустрічі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кандидата на посаду старости з громадськістю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(жителями, які можуть брати участь у обговоренні відповідно до пункту 1.5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(з підпунктом)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цього порядку)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проводяться перед  визначенням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рівня підтримки запропонованої кандидатури старости в старостинському окрузі.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3.3.1. Час та місце проведення відкритої зустрічі жителів відповідного старостинського округу з кандидатом на посаду старости, проведення опитування визначається організаційним комітетом.</w:t>
      </w:r>
      <w:r>
        <w:rPr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3.3.2. Відкрита зустріч проводиться кандидатом на посаду старости за уч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асті не менше 2 (двох) членів організаційного комітету. Кількість проведених зустрічей не обмежується. За результатами зустрічі складається протокол в якому зазначається час та місце проведення, кількість учасників, питання, які ставились перед кандидатом.</w:t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3.3.3. 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період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дії надзвичайної ситуації, надзвичайного стану в громаді/Україні або воєнного стану в Україні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кількість учасників кожної відкритої зустрічі кандидата на посаду старости повинна бути не більше 10 осіб.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4.Визначення рівня підтримки проводиться шляхом опитування жителів відповідного старостинського округу.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4.1. Опитування жителів населених пунктів відповідного старос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тинського округу (з урахуванням вимог п. 1.5 даного Порядку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(з підпунктом)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) проводиться у формі заповнення підписних листів на підтримку кандидатури старости, що повинен містити інформацію про учасника опитування із зазначенням його прізвища, власного імені (усіх власни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х імен) та по батькові (за наявності), числа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місяця і року народження, серії та номера паспорта громадянина України (тимчасового посвідчення громадянина України - для осіб, недавно прийнятих до громадянства України), інформацію про реєстрацію місця проживання, що засвідчується підписом таких учасни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ків. 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4.2. Опитування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жителів населених пунктів відповідного старос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тинського округу (далі - опитування)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проводиться строком до 7 календарних днів.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За рішенням організаційного комітету,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період, коли на території України введено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надзвичайна ситуація, надзвичайний стан в громаді/Україні або воєнний стан в Україні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, проведення опитування мож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е бути призупинено, або продовжений строк до 14 календарних днів.</w:t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4.3. Оголошення про дату, час та місце проведення опитувань публікується на дошках оголошень в населених пунктах громади, не пізніше ніж за день до його проведення.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  <w:t xml:space="preserve">5. Проведення громадських слухань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5.1. Громадські слухання є одним з етапів проведення Громадського обговорення.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5.1.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 Громадські слухання проводяться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вигляді зборів,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протягом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2-х тижнів після завершення опитування жителів відповідного старостинського округу,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як правило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вихідний або неробочий день,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 участі 2 (двох ) членів організаційного комітету, кандидата на посаду старости та жителів відповідного старостинського округу.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5.1.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 Час та місце проведення громадських слухань визначаються організаційним комітетом.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4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5.1.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3. Під час проведен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ня громадських слухань ведеться протокол.</w:t>
      </w:r>
      <w:r>
        <w:rPr>
          <w:color w:val="000000" w:themeColor="text1"/>
        </w:rPr>
      </w:r>
    </w:p>
    <w:p>
      <w:pPr>
        <w:ind w:left="0" w:right="0" w:firstLine="54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5.1.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4. Жителі старостинського округу, які не змогли взяти участь в опитуванні, мають право підписати підписні листи під час громадських слухань.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4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5.1.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Під час проведення громадських слухань заслуховується кандидат на посаду старости. Присутні можуть виступати та ставити запитання кандидату.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5.2.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період, коли на території України введено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надзвичайна ситуація, надзвичайний стан в громаді/Україні або воєнний стан в Україні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громадські слухання не проводяться.</w:t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6. Встановлення та оприлюднення результатів Громадського обговорення</w:t>
      </w:r>
      <w:r>
        <w:rPr>
          <w:b/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6.1. Кандидатура старости вважається погодженою з жителями  відповідного старостинського округу, якщо в результаті Громадського обговорення отримала таку підтримку у старостинському окрузі: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 з кількістю жителів до 1500 - більше 20 відсотків голосів жителів від загальної кількості жителів відповідного старостинського округу, які є громадянами України і мають право голосу на виборах;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 з кількістю жителів від 1500 до 10 тисяч - більше 17 відсотків таких голосів.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Кількість жителів відповідного старостинського округу визначається відповідно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red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до п. 1.5 даного Порядку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(з підпунктом)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54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.2. За результатами проведеного Громадського обговорення кандидатури старости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організаційний комітет готує звіт та проводить підсумкове засідання на якому складається протоко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л, що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має містити такі відомості: дата (період) і місце проведення опитування громадян та громадських слухання, кількість жителів відповідного старостинського округу, які є громадянами України і мають право голосу на виборах, відомості про кандидата на старосту,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кількість учасників опитування, які підтримали відповідну кандидатуру, відсоток жителів, які підтримали кандидата на посаду старости.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4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Підписні листи на підтримку кандидатури старости є частиною протоколу і додаються до нього.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6.3. Оприлюднення підсумків Громадського обговорення здійснюється шляхом опублікування на офіційному вебсайті міської 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ади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та у газеті «Наше слово»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інформації про підсумки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період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дії н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адзвичайної ситуації, надзвичайного стану в громаді/Україні або воєнного стану в Украї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ні оприлюднення підсумків громадського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обговорення здійснюється шляхом опублікування на офіційному вебсайті міської ради та/або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на дошках оголошень у населених пунктах старостинського округу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інформації про підсумки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b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7. Прикінцеві положення</w:t>
      </w:r>
      <w:r>
        <w:rPr>
          <w:b/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7.1. Зміни та доповнення до цього Положення вносяться відповідним рішення міської ради.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7.2. Питання щодо проведення Громадського обговорення, не врегульовані цим Положенням, регулюються відповідно до вимог чинного законодавства України.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7.3. За результатами Громадського обговорення міський голова вносить на розгляд міської ради проект рішення щодо затвердження старости у відповідному старостинському окрузі.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7.4 Кандидатура старости відповідного старостинського округу, не підтримана міською радою, не може бути повторно внесена для затвердження в цьому старостинському окрузі протягом поточного скликання відповідної міської ради.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70"/>
        <w:jc w:val="both"/>
        <w:spacing w:lineRule="auto" w:line="240" w:after="0" w:afterAutospacing="0" w:before="0"/>
        <w:shd w:val="clear" w:color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Керуючий  справами виконавчого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uto" w:line="240" w:after="0" w:afterAutospacing="0" w:before="0"/>
        <w:shd w:val="clear" w:color="FFFFFF"/>
        <w:tabs>
          <w:tab w:val="left" w:pos="6803" w:leader="none"/>
        </w:tabs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комітету Менської міської ради</w:t>
        <w:tab/>
        <w:t xml:space="preserve">Людмила СТАРОДУБ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ab/>
      <w:t xml:space="preserve">Продовження додатка</w:t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7"/>
    <w:next w:val="847"/>
    <w:link w:val="6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0">
    <w:name w:val="Heading 1 Char"/>
    <w:basedOn w:val="848"/>
    <w:link w:val="669"/>
    <w:uiPriority w:val="9"/>
    <w:rPr>
      <w:rFonts w:ascii="Arial" w:hAnsi="Arial" w:cs="Arial" w:eastAsia="Arial"/>
      <w:sz w:val="40"/>
      <w:szCs w:val="40"/>
    </w:rPr>
  </w:style>
  <w:style w:type="paragraph" w:styleId="671">
    <w:name w:val="Heading 2"/>
    <w:basedOn w:val="847"/>
    <w:next w:val="847"/>
    <w:link w:val="6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2">
    <w:name w:val="Heading 2 Char"/>
    <w:basedOn w:val="848"/>
    <w:link w:val="671"/>
    <w:uiPriority w:val="9"/>
    <w:rPr>
      <w:rFonts w:ascii="Arial" w:hAnsi="Arial" w:cs="Arial" w:eastAsia="Arial"/>
      <w:sz w:val="34"/>
    </w:rPr>
  </w:style>
  <w:style w:type="paragraph" w:styleId="673">
    <w:name w:val="Heading 3"/>
    <w:basedOn w:val="847"/>
    <w:next w:val="847"/>
    <w:link w:val="6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4">
    <w:name w:val="Heading 3 Char"/>
    <w:basedOn w:val="848"/>
    <w:link w:val="673"/>
    <w:uiPriority w:val="9"/>
    <w:rPr>
      <w:rFonts w:ascii="Arial" w:hAnsi="Arial" w:cs="Arial" w:eastAsia="Arial"/>
      <w:sz w:val="30"/>
      <w:szCs w:val="30"/>
    </w:rPr>
  </w:style>
  <w:style w:type="paragraph" w:styleId="675">
    <w:name w:val="Heading 4"/>
    <w:basedOn w:val="847"/>
    <w:next w:val="847"/>
    <w:link w:val="6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6">
    <w:name w:val="Heading 4 Char"/>
    <w:basedOn w:val="848"/>
    <w:link w:val="675"/>
    <w:uiPriority w:val="9"/>
    <w:rPr>
      <w:rFonts w:ascii="Arial" w:hAnsi="Arial" w:cs="Arial" w:eastAsia="Arial"/>
      <w:b/>
      <w:bCs/>
      <w:sz w:val="26"/>
      <w:szCs w:val="26"/>
    </w:rPr>
  </w:style>
  <w:style w:type="paragraph" w:styleId="677">
    <w:name w:val="Heading 5"/>
    <w:basedOn w:val="847"/>
    <w:next w:val="847"/>
    <w:link w:val="6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8">
    <w:name w:val="Heading 5 Char"/>
    <w:basedOn w:val="848"/>
    <w:link w:val="677"/>
    <w:uiPriority w:val="9"/>
    <w:rPr>
      <w:rFonts w:ascii="Arial" w:hAnsi="Arial" w:cs="Arial" w:eastAsia="Arial"/>
      <w:b/>
      <w:bCs/>
      <w:sz w:val="24"/>
      <w:szCs w:val="24"/>
    </w:rPr>
  </w:style>
  <w:style w:type="paragraph" w:styleId="679">
    <w:name w:val="Heading 6"/>
    <w:basedOn w:val="847"/>
    <w:next w:val="847"/>
    <w:link w:val="6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0">
    <w:name w:val="Heading 6 Char"/>
    <w:basedOn w:val="848"/>
    <w:link w:val="679"/>
    <w:uiPriority w:val="9"/>
    <w:rPr>
      <w:rFonts w:ascii="Arial" w:hAnsi="Arial" w:cs="Arial" w:eastAsia="Arial"/>
      <w:b/>
      <w:bCs/>
      <w:sz w:val="22"/>
      <w:szCs w:val="22"/>
    </w:rPr>
  </w:style>
  <w:style w:type="paragraph" w:styleId="681">
    <w:name w:val="Heading 7"/>
    <w:basedOn w:val="847"/>
    <w:next w:val="847"/>
    <w:link w:val="6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2">
    <w:name w:val="Heading 7 Char"/>
    <w:basedOn w:val="848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3">
    <w:name w:val="Heading 8"/>
    <w:basedOn w:val="847"/>
    <w:next w:val="847"/>
    <w:link w:val="6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4">
    <w:name w:val="Heading 8 Char"/>
    <w:basedOn w:val="848"/>
    <w:link w:val="683"/>
    <w:uiPriority w:val="9"/>
    <w:rPr>
      <w:rFonts w:ascii="Arial" w:hAnsi="Arial" w:cs="Arial" w:eastAsia="Arial"/>
      <w:i/>
      <w:iCs/>
      <w:sz w:val="22"/>
      <w:szCs w:val="22"/>
    </w:rPr>
  </w:style>
  <w:style w:type="paragraph" w:styleId="685">
    <w:name w:val="Heading 9"/>
    <w:basedOn w:val="847"/>
    <w:next w:val="847"/>
    <w:link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6">
    <w:name w:val="Heading 9 Char"/>
    <w:basedOn w:val="848"/>
    <w:link w:val="685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List Paragraph"/>
    <w:basedOn w:val="847"/>
    <w:qFormat/>
    <w:uiPriority w:val="34"/>
    <w:pPr>
      <w:contextualSpacing w:val="true"/>
      <w:ind w:left="720"/>
    </w:pPr>
  </w:style>
  <w:style w:type="paragraph" w:styleId="688">
    <w:name w:val="No Spacing"/>
    <w:qFormat/>
    <w:uiPriority w:val="1"/>
    <w:pPr>
      <w:spacing w:lineRule="auto" w:line="240" w:after="0" w:before="0"/>
    </w:pPr>
  </w:style>
  <w:style w:type="paragraph" w:styleId="689">
    <w:name w:val="Title"/>
    <w:basedOn w:val="847"/>
    <w:next w:val="847"/>
    <w:link w:val="6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0">
    <w:name w:val="Title Char"/>
    <w:basedOn w:val="848"/>
    <w:link w:val="689"/>
    <w:uiPriority w:val="10"/>
    <w:rPr>
      <w:sz w:val="48"/>
      <w:szCs w:val="48"/>
    </w:rPr>
  </w:style>
  <w:style w:type="paragraph" w:styleId="691">
    <w:name w:val="Subtitle"/>
    <w:basedOn w:val="847"/>
    <w:next w:val="847"/>
    <w:link w:val="692"/>
    <w:qFormat/>
    <w:uiPriority w:val="11"/>
    <w:rPr>
      <w:sz w:val="24"/>
      <w:szCs w:val="24"/>
    </w:rPr>
    <w:pPr>
      <w:spacing w:after="200" w:before="200"/>
    </w:pPr>
  </w:style>
  <w:style w:type="character" w:styleId="692">
    <w:name w:val="Subtitle Char"/>
    <w:basedOn w:val="848"/>
    <w:link w:val="691"/>
    <w:uiPriority w:val="11"/>
    <w:rPr>
      <w:sz w:val="24"/>
      <w:szCs w:val="24"/>
    </w:rPr>
  </w:style>
  <w:style w:type="paragraph" w:styleId="693">
    <w:name w:val="Quote"/>
    <w:basedOn w:val="847"/>
    <w:next w:val="847"/>
    <w:link w:val="694"/>
    <w:qFormat/>
    <w:uiPriority w:val="29"/>
    <w:rPr>
      <w:i/>
    </w:rPr>
    <w:pPr>
      <w:ind w:left="720" w:right="720"/>
    </w:p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7"/>
    <w:next w:val="847"/>
    <w:link w:val="69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>
    <w:name w:val="Intense Quote Char"/>
    <w:link w:val="695"/>
    <w:uiPriority w:val="30"/>
    <w:rPr>
      <w:i/>
    </w:rPr>
  </w:style>
  <w:style w:type="paragraph" w:styleId="697">
    <w:name w:val="Header"/>
    <w:basedOn w:val="847"/>
    <w:link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>
    <w:name w:val="Header Char"/>
    <w:basedOn w:val="848"/>
    <w:link w:val="697"/>
    <w:uiPriority w:val="99"/>
  </w:style>
  <w:style w:type="paragraph" w:styleId="699">
    <w:name w:val="Footer"/>
    <w:basedOn w:val="847"/>
    <w:link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>
    <w:name w:val="Footer Char"/>
    <w:basedOn w:val="848"/>
    <w:link w:val="699"/>
    <w:uiPriority w:val="99"/>
  </w:style>
  <w:style w:type="paragraph" w:styleId="701">
    <w:name w:val="Caption"/>
    <w:basedOn w:val="847"/>
    <w:next w:val="8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>
    <w:name w:val="Caption Char"/>
    <w:basedOn w:val="701"/>
    <w:link w:val="699"/>
    <w:uiPriority w:val="99"/>
  </w:style>
  <w:style w:type="table" w:styleId="703">
    <w:name w:val="Table Grid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Table Grid Light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8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4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>
    <w:name w:val="Grid Table 4 - Accent 1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3">
    <w:name w:val="Grid Table 4 - Accent 2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4">
    <w:name w:val="Grid Table 4 - Accent 3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5">
    <w:name w:val="Grid Table 4 - Accent 4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6">
    <w:name w:val="Grid Table 4 - Accent 5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7">
    <w:name w:val="Grid Table 4 - Accent 6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8">
    <w:name w:val="Grid Table 5 Dark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9">
    <w:name w:val="Grid Table 5 Dark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2">
    <w:name w:val="Grid Table 5 Dark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5">
    <w:name w:val="Grid Table 6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7">
    <w:name w:val="List Table 2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8">
    <w:name w:val="List Table 2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9">
    <w:name w:val="List Table 2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0">
    <w:name w:val="List Table 2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1">
    <w:name w:val="List Table 2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2">
    <w:name w:val="List Table 2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3">
    <w:name w:val="List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5">
    <w:name w:val="List Table 6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6">
    <w:name w:val="List Table 6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7">
    <w:name w:val="List Table 6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8">
    <w:name w:val="List Table 6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9">
    <w:name w:val="List Table 6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0">
    <w:name w:val="List Table 6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1">
    <w:name w:val="List Table 7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3">
    <w:name w:val="List Table 7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4">
    <w:name w:val="List Table 7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5">
    <w:name w:val="List Table 7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6">
    <w:name w:val="List Table 7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7">
    <w:name w:val="List Table 7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8">
    <w:name w:val="Lined - Accent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9">
    <w:name w:val="Lined - Accent 1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0">
    <w:name w:val="Lined - Accent 2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1">
    <w:name w:val="Lined - Accent 3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2">
    <w:name w:val="Lined - Accent 4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3">
    <w:name w:val="Lined - Accent 5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4">
    <w:name w:val="Lined - Accent 6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5">
    <w:name w:val="Bordered &amp; Lined - Accent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6">
    <w:name w:val="Bordered &amp; Lined - Accent 1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7">
    <w:name w:val="Bordered &amp; Lined - Accent 2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8">
    <w:name w:val="Bordered &amp; Lined - Accent 3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9">
    <w:name w:val="Bordered &amp; Lined - Accent 4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0">
    <w:name w:val="Bordered &amp; Lined - Accent 5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1">
    <w:name w:val="Bordered &amp; Lined - Accent 6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2">
    <w:name w:val="Bordered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3">
    <w:name w:val="Bordered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4">
    <w:name w:val="Bordered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5">
    <w:name w:val="Bordered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6">
    <w:name w:val="Bordered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7">
    <w:name w:val="Bordered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8">
    <w:name w:val="Bordered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847"/>
    <w:link w:val="831"/>
    <w:uiPriority w:val="99"/>
    <w:semiHidden/>
    <w:unhideWhenUsed/>
    <w:rPr>
      <w:sz w:val="18"/>
    </w:rPr>
    <w:pPr>
      <w:spacing w:lineRule="auto" w:line="240" w:after="40"/>
    </w:p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48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rPr>
      <w:sz w:val="20"/>
    </w:rPr>
    <w:pPr>
      <w:spacing w:lineRule="auto" w:line="240" w:after="0"/>
    </w:p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8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</w:style>
  <w:style w:type="character" w:styleId="848" w:default="1">
    <w:name w:val="Default Paragraph Font"/>
    <w:uiPriority w:val="1"/>
    <w:semiHidden/>
    <w:unhideWhenUsed/>
  </w:style>
  <w:style w:type="table" w:styleId="8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paragraph" w:styleId="851" w:customStyle="1">
    <w:name w:val="rvps1018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52" w:customStyle="1">
    <w:name w:val="rvts24"/>
    <w:basedOn w:val="848"/>
  </w:style>
  <w:style w:type="paragraph" w:styleId="853" w:customStyle="1">
    <w:name w:val="rvps1019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4" w:customStyle="1">
    <w:name w:val="rvps1020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5" w:customStyle="1">
    <w:name w:val="rvps1021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6" w:customStyle="1">
    <w:name w:val="rvps1022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57" w:customStyle="1">
    <w:name w:val="rvts8"/>
    <w:basedOn w:val="848"/>
  </w:style>
  <w:style w:type="paragraph" w:styleId="858" w:customStyle="1">
    <w:name w:val="rvps1023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9" w:customStyle="1">
    <w:name w:val="rvps1024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0" w:customStyle="1">
    <w:name w:val="rvps1025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1" w:customStyle="1">
    <w:name w:val="rvps1026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2" w:customStyle="1">
    <w:name w:val="rvps1027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3" w:customStyle="1">
    <w:name w:val="rvps1028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4" w:customStyle="1">
    <w:name w:val="rvps1029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5" w:customStyle="1">
    <w:name w:val="rvps1030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6" w:customStyle="1">
    <w:name w:val="rvps1031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7" w:customStyle="1">
    <w:name w:val="rvps1032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8" w:customStyle="1">
    <w:name w:val="rvps1033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9" w:customStyle="1">
    <w:name w:val="rvps1034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0" w:customStyle="1">
    <w:name w:val="rvps1035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1" w:customStyle="1">
    <w:name w:val="rvps1037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2" w:customStyle="1">
    <w:name w:val="rvps1038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3" w:customStyle="1">
    <w:name w:val="rvps1039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4" w:customStyle="1">
    <w:name w:val="rvps1040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5" w:customStyle="1">
    <w:name w:val="rvps1041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6" w:customStyle="1">
    <w:name w:val="rvps1042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7" w:customStyle="1">
    <w:name w:val="rvps1043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8" w:customStyle="1">
    <w:name w:val="rvps1044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9" w:customStyle="1">
    <w:name w:val="rvps1045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0" w:customStyle="1">
    <w:name w:val="rvps1046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1" w:customStyle="1">
    <w:name w:val="rvps1047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2" w:customStyle="1">
    <w:name w:val="rvps1048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3" w:customStyle="1">
    <w:name w:val="rvps1049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4" w:customStyle="1">
    <w:name w:val="rvps1050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5" w:customStyle="1">
    <w:name w:val="rvps1051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6" w:customStyle="1">
    <w:name w:val="rvps1052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7" w:customStyle="1">
    <w:name w:val="rvps1053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8" w:customStyle="1">
    <w:name w:val="rvps1054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9" w:customStyle="1">
    <w:name w:val="rvps1055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0" w:customStyle="1">
    <w:name w:val="rvps1056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1" w:customStyle="1">
    <w:name w:val="rvps1057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2" w:customStyle="1">
    <w:name w:val="rvps1058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3" w:customStyle="1">
    <w:name w:val="rvts31"/>
    <w:basedOn w:val="848"/>
  </w:style>
  <w:style w:type="paragraph" w:styleId="894" w:customStyle="1">
    <w:name w:val="rvps1059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5" w:customStyle="1">
    <w:name w:val="rvps1060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6" w:customStyle="1">
    <w:name w:val="rvps1061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7" w:customStyle="1">
    <w:name w:val="rvps1062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8" w:customStyle="1">
    <w:name w:val="rvps1063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9" w:customStyle="1">
    <w:name w:val="rvps1064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0" w:customStyle="1">
    <w:name w:val="rvps1065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1" w:customStyle="1">
    <w:name w:val="rvps1066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2">
    <w:name w:val="Звичайни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ru-RU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28</cp:revision>
  <dcterms:created xsi:type="dcterms:W3CDTF">2021-08-25T17:19:00Z</dcterms:created>
  <dcterms:modified xsi:type="dcterms:W3CDTF">2022-05-30T11:04:45Z</dcterms:modified>
</cp:coreProperties>
</file>