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bookmarkStart w:id="1" w:name="_GoBack"/>
      <w:r/>
      <w:bookmarkEnd w:id="1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173</w:t>
      </w:r>
      <w:r/>
    </w:p>
    <w:p>
      <w:pPr>
        <w:pStyle w:val="89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земельної ділянки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ФГ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ГОРЧИНСЬКИЙ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голови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«ГОРЧИНСЬКИЙ»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А.В.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Горчинського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земельної ділянки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10,3472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Степанівка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технічну документацію із землеустрою щодо інвентаризації земель сільськогосподарського призначення кому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нальної власності, площею 10,3472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га, що розташовані на території Менської міської територіальної громади за ме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Степанівка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 метою передачі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«ГОРЧИНСЬКИЙ»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ведення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товарного сільськогосподарського виробництва (код КВЦПЗ 01.01)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ГОРЧИНСЬКИЙ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10,3472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для ведення товарного сільськогосподарського виробництва (код КВЦПЗ 01.01), яка розташована на території Менської міської територіальної громади за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Степанівка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середньої нормативної грошової оцінки земельної ділянки, що визначається від середньої нормативної грошової оцінки одиниці площі ріллі по Чернігівській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Примакову Г.А.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 земел</w:t>
      </w:r>
      <w:r>
        <w:rPr>
          <w:rFonts w:ascii="Times New Roman" w:hAnsi="Times New Roman"/>
          <w:sz w:val="28"/>
          <w:szCs w:val="28"/>
          <w:lang w:val="uk-UA"/>
        </w:rPr>
        <w:t xml:space="preserve">ьної ділянки, зазначеної в пункті 2</w:t>
      </w:r>
      <w:r>
        <w:rPr>
          <w:rFonts w:ascii="Times New Roman" w:hAnsi="Times New Roman"/>
          <w:sz w:val="28"/>
          <w:szCs w:val="28"/>
          <w:lang w:val="uk-UA"/>
        </w:rPr>
        <w:t xml:space="preserve"> цього рішення,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подати його на державну 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120" w:before="120"/>
        <w:tabs>
          <w:tab w:val="left" w:pos="993" w:leader="none"/>
          <w:tab w:val="left" w:pos="1276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0178EE8-A01C-4281-AFFC-6D099112A2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Скирта Оксана Віталіївна</cp:lastModifiedBy>
  <cp:revision>16</cp:revision>
  <dcterms:created xsi:type="dcterms:W3CDTF">2022-04-19T08:36:00Z</dcterms:created>
  <dcterms:modified xsi:type="dcterms:W3CDTF">2022-05-27T12:45:58Z</dcterms:modified>
</cp:coreProperties>
</file>