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96" w:firstLine="0"/>
        <w:rPr>
          <w:sz w:val="28"/>
          <w:szCs w:val="28"/>
        </w:rPr>
      </w:pPr>
      <w:r>
        <w:rPr>
          <w:sz w:val="28"/>
          <w:szCs w:val="28"/>
        </w:rPr>
        <w:t xml:space="preserve">Додаток</w:t>
      </w:r>
      <w:r>
        <w:rPr>
          <w:sz w:val="28"/>
          <w:szCs w:val="28"/>
        </w:rPr>
        <w:t xml:space="preserve"> </w:t>
      </w:r>
      <w:r/>
    </w:p>
    <w:p>
      <w:pPr>
        <w:ind w:left="6096" w:firstLine="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18 </w:t>
      </w:r>
      <w:r>
        <w:rPr>
          <w:sz w:val="28"/>
          <w:szCs w:val="28"/>
        </w:rPr>
        <w:t xml:space="preserve">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8 </w:t>
      </w:r>
      <w:r>
        <w:rPr>
          <w:sz w:val="28"/>
          <w:szCs w:val="28"/>
        </w:rPr>
        <w:t xml:space="preserve">скликання</w:t>
      </w:r>
      <w:r>
        <w:rPr>
          <w:sz w:val="28"/>
          <w:szCs w:val="28"/>
        </w:rPr>
        <w:t xml:space="preserve"> </w:t>
      </w:r>
      <w:r/>
    </w:p>
    <w:p>
      <w:pPr>
        <w:ind w:left="6096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квітня</w:t>
      </w:r>
      <w:r>
        <w:rPr>
          <w:sz w:val="28"/>
          <w:szCs w:val="28"/>
        </w:rPr>
        <w:t xml:space="preserve"> 2022 року №</w:t>
      </w:r>
      <w:r>
        <w:rPr>
          <w:sz w:val="28"/>
          <w:szCs w:val="28"/>
          <w:lang w:val="uk-UA"/>
        </w:rPr>
        <w:t xml:space="preserve"> 95</w:t>
      </w:r>
      <w:r/>
    </w:p>
    <w:tbl>
      <w:tblPr>
        <w:tblpPr w:horzAnchor="margin" w:tblpXSpec="right" w:vertAnchor="text" w:tblpY="465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59"/>
        <w:gridCol w:w="701"/>
      </w:tblGrid>
      <w:tr>
        <w:trPr/>
        <w:tc>
          <w:tcPr>
            <w:gridSpan w:val="3"/>
            <w:shd w:val="clear" w:fill="auto" w:color="auto"/>
            <w:tcW w:w="191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КОДИ</w:t>
            </w:r>
            <w:r/>
          </w:p>
        </w:tc>
      </w:tr>
      <w:tr>
        <w:trPr/>
        <w:tc>
          <w:tcPr>
            <w:shd w:val="clear" w:fill="auto" w:color="auto"/>
            <w:tcW w:w="65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2022</w:t>
            </w:r>
            <w:r/>
          </w:p>
        </w:tc>
        <w:tc>
          <w:tcPr>
            <w:shd w:val="clear" w:fill="auto" w:color="auto"/>
            <w:tcW w:w="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04</w:t>
            </w:r>
            <w:r/>
          </w:p>
        </w:tc>
        <w:tc>
          <w:tcPr>
            <w:shd w:val="clear" w:fill="auto" w:color="auto"/>
            <w:tcW w:w="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01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37887150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7423082001</w:t>
            </w:r>
            <w:r/>
          </w:p>
        </w:tc>
      </w:tr>
      <w:tr>
        <w:trPr>
          <w:trHeight w:val="455"/>
        </w:trPr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430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11085</w:t>
            </w:r>
            <w:r/>
          </w:p>
        </w:tc>
      </w:tr>
      <w:tr>
        <w:trPr/>
        <w:tc>
          <w:tcPr>
            <w:gridSpan w:val="3"/>
            <w:shd w:val="clear" w:fill="auto" w:color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85.10</w:t>
            </w:r>
            <w:r/>
          </w:p>
        </w:tc>
      </w:tr>
    </w:tbl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 (рік, місяць, число)</w:t>
      </w:r>
      <w:r/>
    </w:p>
    <w:p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Установа/бюджет</w:t>
      </w:r>
      <w:r>
        <w:rPr>
          <w:sz w:val="22"/>
          <w:szCs w:val="22"/>
          <w:lang w:val="uk-UA"/>
        </w:rPr>
        <w:tab/>
      </w:r>
      <w:r>
        <w:rPr>
          <w:sz w:val="18"/>
          <w:szCs w:val="18"/>
          <w:u w:val="single"/>
          <w:lang w:val="uk-UA"/>
        </w:rPr>
        <w:t xml:space="preserve">Семенівський заклад дошкільної освіти (дитячий садок) "Сонечко" загаль</w:t>
      </w:r>
      <w:r>
        <w:rPr>
          <w:sz w:val="18"/>
          <w:szCs w:val="18"/>
          <w:u w:val="single"/>
          <w:lang w:val="uk-UA"/>
        </w:rPr>
        <w:t xml:space="preserve">ного типу Менської міської ради</w:t>
      </w:r>
      <w:r>
        <w:rPr>
          <w:sz w:val="18"/>
          <w:szCs w:val="18"/>
          <w:u w:val="single"/>
          <w:lang w:val="uk-UA"/>
        </w:rPr>
        <w:t xml:space="preserve"> Менського району Чернігівської області</w:t>
      </w:r>
      <w:r>
        <w:rPr>
          <w:sz w:val="18"/>
          <w:szCs w:val="18"/>
          <w:lang w:val="uk-UA"/>
        </w:rPr>
        <w:tab/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за ЄДРПОУ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Територія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</w:t>
      </w:r>
      <w:r>
        <w:rPr>
          <w:sz w:val="22"/>
          <w:szCs w:val="22"/>
          <w:lang w:val="uk-UA"/>
        </w:rPr>
        <w:t xml:space="preserve">  </w:t>
      </w:r>
      <w:r>
        <w:rPr>
          <w:sz w:val="18"/>
          <w:szCs w:val="18"/>
          <w:u w:val="single"/>
          <w:lang w:val="uk-UA"/>
        </w:rPr>
        <w:t xml:space="preserve">Мена</w:t>
      </w:r>
      <w:r>
        <w:rPr>
          <w:sz w:val="18"/>
          <w:szCs w:val="18"/>
          <w:u w:val="single"/>
          <w:lang w:val="uk-UA"/>
        </w:rPr>
        <w:t xml:space="preserve">, </w:t>
      </w:r>
      <w:r>
        <w:rPr>
          <w:sz w:val="18"/>
          <w:szCs w:val="18"/>
          <w:u w:val="single"/>
          <w:lang w:val="uk-UA"/>
        </w:rPr>
        <w:t xml:space="preserve"> Чернігівської області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за КОАТУУ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Організаційно-правова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форма господарювання           </w:t>
      </w:r>
      <w:r>
        <w:rPr>
          <w:sz w:val="22"/>
          <w:szCs w:val="22"/>
          <w:lang w:val="uk-UA"/>
        </w:rPr>
        <w:t xml:space="preserve">  </w:t>
      </w:r>
      <w:r>
        <w:rPr>
          <w:sz w:val="18"/>
          <w:szCs w:val="18"/>
          <w:u w:val="single"/>
          <w:lang w:val="uk-UA"/>
        </w:rPr>
        <w:t xml:space="preserve">Комунальна організація (установа, заклад)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за КОПФГ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 державного управління  </w:t>
      </w:r>
      <w:r>
        <w:rPr>
          <w:sz w:val="18"/>
          <w:szCs w:val="18"/>
          <w:u w:val="single"/>
          <w:lang w:val="uk-UA"/>
        </w:rPr>
        <w:t xml:space="preserve">Міністерство освіти і науки України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 xml:space="preserve">за КОДУ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 економічної діяльності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</w:t>
      </w:r>
      <w:r>
        <w:rPr>
          <w:sz w:val="18"/>
          <w:szCs w:val="18"/>
          <w:u w:val="single"/>
          <w:lang w:val="uk-UA"/>
        </w:rPr>
        <w:t xml:space="preserve">Дошкільна освіта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                   </w:t>
      </w:r>
      <w:r>
        <w:rPr>
          <w:sz w:val="22"/>
          <w:szCs w:val="22"/>
          <w:lang w:val="uk-UA"/>
        </w:rPr>
        <w:t xml:space="preserve">за КВЕД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Одиниця виміру: </w:t>
      </w:r>
      <w:r>
        <w:rPr>
          <w:sz w:val="22"/>
          <w:szCs w:val="22"/>
          <w:lang w:val="uk-UA"/>
        </w:rPr>
        <w:t xml:space="preserve">грн</w:t>
      </w:r>
      <w:r>
        <w:rPr>
          <w:sz w:val="22"/>
          <w:szCs w:val="22"/>
          <w:lang w:val="uk-UA"/>
        </w:rPr>
        <w:t xml:space="preserve">.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Періодичність: </w:t>
      </w:r>
      <w:r>
        <w:rPr>
          <w:sz w:val="22"/>
          <w:szCs w:val="22"/>
          <w:lang w:val="uk-UA"/>
        </w:rPr>
        <w:t xml:space="preserve">проміжна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БАЛАНС</w:t>
      </w:r>
      <w:r/>
    </w:p>
    <w:p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01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квітня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20</w:t>
      </w:r>
      <w:r>
        <w:rPr>
          <w:b/>
          <w:sz w:val="28"/>
          <w:szCs w:val="28"/>
          <w:lang w:val="uk-UA"/>
        </w:rPr>
        <w:t xml:space="preserve">22 </w:t>
      </w:r>
      <w:r>
        <w:rPr>
          <w:b/>
          <w:sz w:val="28"/>
          <w:szCs w:val="28"/>
          <w:lang w:val="uk-UA"/>
        </w:rPr>
        <w:t xml:space="preserve">року</w:t>
      </w:r>
      <w:r/>
    </w:p>
    <w:p>
      <w:pPr>
        <w:ind w:firstLine="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Форма № 1-дс</w:t>
      </w:r>
      <w:r/>
    </w:p>
    <w:tbl>
      <w:tblPr>
        <w:tblW w:w="1047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8"/>
        <w:gridCol w:w="1011"/>
        <w:gridCol w:w="2338"/>
        <w:gridCol w:w="11"/>
        <w:gridCol w:w="2531"/>
      </w:tblGrid>
      <w:tr>
        <w:trPr>
          <w:trHeight w:val="500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АКТИВ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</w:t>
            </w:r>
            <w:r/>
          </w:p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рядка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gridSpan w:val="5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НЕФІНАНСОВІ АКТИВИ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Основні засоби: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1000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1001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1002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Інвестиційна нерухомість: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1010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1011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1012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Нематеріальні активи: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1020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1021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1022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Незавершені капітальні інвестиції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1030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біологічні активи: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1040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1041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1042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Запаси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1050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Виробництво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1060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біологічні активи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1090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1095</w:t>
            </w:r>
            <w:r/>
          </w:p>
        </w:tc>
        <w:tc>
          <w:tcPr>
            <w:shd w:val="clear" w:fill="auto" w:color="auto"/>
            <w:tcW w:w="233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542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gridSpan w:val="5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ФІНАНСОВІ АКТИВИ</w:t>
            </w:r>
            <w:r/>
          </w:p>
        </w:tc>
      </w:tr>
      <w:tr>
        <w:trPr>
          <w:trHeight w:val="192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Довгострокова дебіторська заборгованість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61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фінансові інвестиції, у тому числі: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цінні папери, крім акцій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1111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акції та інші форми участі в капіталі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1112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дебіторська заборгованість: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бюджетом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наданими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виданими авансами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інша поточна дебіторська заборгованість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фінансові інвестиції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Грошові кошти та їх еквіваленти розпорядників бюджетних коштів та державних цільових фондів у: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національній валюті, у тому числі в: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касі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1161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казначействі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1162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установах банків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1163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Кошти бюджетників та інших клієнтів на: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єдиному казначейському рахунку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рахунках в установах банків, у тому числі: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національній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1176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іноземній валюті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1177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фінансові активи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1180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1195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 ВИТРАТИ МАЙБУТНІХ ПЕРІОДІВ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bottom w:val="single" w:sz="4" w:space="0" w:color="auto"/>
            </w:tcBorders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1300</w:t>
            </w:r>
            <w:r/>
          </w:p>
        </w:tc>
        <w:tc>
          <w:tcPr>
            <w:gridSpan w:val="2"/>
            <w:shd w:val="clear" w:fill="auto" w:color="auto"/>
            <w:tcBorders>
              <w:bottom w:val="single" w:sz="4" w:space="0" w:color="auto"/>
            </w:tcBorders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83"/>
        </w:trPr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ПАСИВ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 рядка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/>
        <w:tc>
          <w:tcPr>
            <w:gridSpan w:val="5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ВЛАСНИЙ КАПІТАЛ ТА ФІНАНСОВИЙ РЕЗУЛЬТАТ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Внесений капітал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дооцінках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1410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Фінансовий результат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1420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підприємствах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1430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Резерви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1440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Цільове фінансування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1450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1495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gridSpan w:val="5"/>
            <w:shd w:val="clear" w:fill="auto" w:color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ЗОБОВ’ЯЗАННЯ</w:t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зобов’язання: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1510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довгострокові зобов’язання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1520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заборгованість за довгостроковими зобов’язаннями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1530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зобов’язання: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платежами </w:t>
            </w:r>
            <w:r>
              <w:rPr>
                <w:sz w:val="22"/>
                <w:szCs w:val="22"/>
              </w:rPr>
              <w:t xml:space="preserve">до бюджету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одержаними авансами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оплати праці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поточні зобов’язання, з них: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left="284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1576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1595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ЗАБЕЗПЕЧЕННЯ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1600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IV</w:t>
            </w:r>
            <w:r>
              <w:rPr>
                <w:b/>
                <w:sz w:val="22"/>
                <w:szCs w:val="22"/>
              </w:rPr>
              <w:t xml:space="preserve">. ДОХОДИ МАЙБУТН</w:t>
            </w:r>
            <w:r>
              <w:rPr>
                <w:b/>
                <w:sz w:val="22"/>
                <w:szCs w:val="22"/>
                <w:lang w:val="uk-UA"/>
              </w:rPr>
              <w:t xml:space="preserve">ІХ ПЕРІОДІВ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1700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fill="auto" w:color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fill="auto" w:color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1800</w:t>
            </w:r>
            <w:r/>
          </w:p>
        </w:tc>
        <w:tc>
          <w:tcPr>
            <w:gridSpan w:val="2"/>
            <w:shd w:val="clear" w:fill="auto" w:color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fill="auto" w:color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</w:tbl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Заступник голови 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ліквідаційної комісії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_____________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 xml:space="preserve">_</w:t>
      </w:r>
      <w:r>
        <w:rPr>
          <w:sz w:val="22"/>
          <w:szCs w:val="22"/>
          <w:u w:val="single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 xml:space="preserve">В.Г.Тимошенко</w:t>
      </w:r>
      <w:r>
        <w:rPr>
          <w:sz w:val="22"/>
          <w:szCs w:val="22"/>
          <w:u w:val="single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 xml:space="preserve">__</w:t>
      </w:r>
      <w:r>
        <w:rPr>
          <w:sz w:val="22"/>
          <w:szCs w:val="22"/>
          <w:lang w:val="uk-UA"/>
        </w:rPr>
        <w:t xml:space="preserve">___</w:t>
      </w:r>
      <w:r/>
    </w:p>
    <w:p>
      <w:pPr>
        <w:ind w:firstLine="0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(підпис)</w:t>
      </w:r>
      <w:r>
        <w:rPr>
          <w:sz w:val="22"/>
          <w:szCs w:val="22"/>
          <w:vertAlign w:val="superscript"/>
          <w:lang w:val="uk-UA"/>
        </w:rPr>
        <w:t xml:space="preserve">             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 xml:space="preserve">   </w:t>
      </w:r>
      <w:r>
        <w:rPr>
          <w:sz w:val="22"/>
          <w:szCs w:val="22"/>
          <w:vertAlign w:val="superscript"/>
          <w:lang w:val="uk-UA"/>
        </w:rPr>
        <w:t xml:space="preserve"> (ініціали та прізвище)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/>
    </w:p>
    <w:p>
      <w:pPr>
        <w:ind w:firstLine="0"/>
        <w:tabs>
          <w:tab w:val="left" w:pos="6803" w:leader="none"/>
        </w:tabs>
        <w:rPr>
          <w:sz w:val="22"/>
          <w:szCs w:val="22"/>
          <w:vertAlign w:val="superscript"/>
          <w:lang w:val="uk-UA"/>
        </w:rPr>
      </w:pPr>
      <w:r/>
      <w:bookmarkStart w:id="0" w:name="_GoBack"/>
      <w:r/>
      <w:bookmarkEnd w:id="0"/>
      <w:r>
        <w:t xml:space="preserve">Начальник Відділу освіти</w:t>
        <w:tab/>
        <w:t xml:space="preserve">Ірина ЛУК’ЯНЕНКО</w:t>
      </w:r>
      <w:r/>
    </w:p>
    <w:sectPr>
      <w:headerReference w:type="default" r:id="rId9"/>
      <w:headerReference w:type="even" r:id="rId10"/>
      <w:headerReference w:type="first" r:id="rId11"/>
      <w:footerReference w:type="first" r:id="rId12"/>
      <w:footnotePr/>
      <w:endnotePr/>
      <w:type w:val="nextPage"/>
      <w:pgSz w:w="11907" w:h="16840" w:orient="portrait"/>
      <w:pgMar w:top="709" w:right="567" w:bottom="426" w:left="1134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  <w:jc w:val="right"/>
      <w:tabs>
        <w:tab w:val="left" w:pos="3118" w:leader="none"/>
        <w:tab w:val="clear" w:pos="4819" w:leader="none"/>
        <w:tab w:val="clear" w:pos="9639" w:leader="none"/>
      </w:tabs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  <w:tab/>
      <w:t xml:space="preserve">продовження додатка</w:t>
    </w:r>
    <w:r>
      <w:rPr>
        <w:i/>
        <w:sz w:val="24"/>
      </w:rPr>
    </w: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0"/>
    <w:link w:val="66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0"/>
    <w:link w:val="66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0"/>
    <w:link w:val="66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0"/>
    <w:link w:val="668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4"/>
    <w:next w:val="66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0"/>
    <w:link w:val="669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4"/>
    <w:next w:val="66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4"/>
    <w:next w:val="66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4"/>
    <w:next w:val="66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4"/>
    <w:next w:val="66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0"/>
    <w:link w:val="32"/>
    <w:uiPriority w:val="10"/>
    <w:rPr>
      <w:sz w:val="48"/>
      <w:szCs w:val="48"/>
    </w:rPr>
  </w:style>
  <w:style w:type="paragraph" w:styleId="34">
    <w:name w:val="Subtitle"/>
    <w:basedOn w:val="664"/>
    <w:next w:val="66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0"/>
    <w:link w:val="34"/>
    <w:uiPriority w:val="11"/>
    <w:rPr>
      <w:sz w:val="24"/>
      <w:szCs w:val="24"/>
    </w:rPr>
  </w:style>
  <w:style w:type="paragraph" w:styleId="36">
    <w:name w:val="Quote"/>
    <w:basedOn w:val="664"/>
    <w:next w:val="66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4"/>
    <w:next w:val="66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0"/>
    <w:link w:val="678"/>
    <w:uiPriority w:val="99"/>
  </w:style>
  <w:style w:type="character" w:styleId="43">
    <w:name w:val="Footer Char"/>
    <w:basedOn w:val="670"/>
    <w:link w:val="676"/>
    <w:uiPriority w:val="99"/>
  </w:style>
  <w:style w:type="paragraph" w:styleId="44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6"/>
    <w:uiPriority w:val="99"/>
  </w:style>
  <w:style w:type="table" w:styleId="47">
    <w:name w:val="Table Grid Light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0"/>
    <w:uiPriority w:val="99"/>
    <w:unhideWhenUsed/>
    <w:rPr>
      <w:vertAlign w:val="superscript"/>
    </w:rPr>
  </w:style>
  <w:style w:type="paragraph" w:styleId="176">
    <w:name w:val="endnote text"/>
    <w:basedOn w:val="66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0"/>
    <w:uiPriority w:val="99"/>
    <w:semiHidden/>
    <w:unhideWhenUsed/>
    <w:rPr>
      <w:vertAlign w:val="superscript"/>
    </w:rPr>
  </w:style>
  <w:style w:type="paragraph" w:styleId="179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665">
    <w:name w:val="Heading 1"/>
    <w:basedOn w:val="664"/>
    <w:next w:val="664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666">
    <w:name w:val="Heading 2"/>
    <w:basedOn w:val="664"/>
    <w:next w:val="664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667">
    <w:name w:val="Heading 3"/>
    <w:basedOn w:val="664"/>
    <w:next w:val="664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668">
    <w:name w:val="Heading 4"/>
    <w:basedOn w:val="664"/>
    <w:next w:val="664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669">
    <w:name w:val="Heading 6"/>
    <w:basedOn w:val="664"/>
    <w:next w:val="664"/>
    <w:qFormat/>
    <w:rPr>
      <w:i/>
      <w:sz w:val="22"/>
    </w:rPr>
    <w:pPr>
      <w:spacing w:after="60" w:before="240"/>
      <w:outlineLvl w:val="5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paragraph" w:styleId="673" w:customStyle="1">
    <w:name w:val="Русский"/>
    <w:basedOn w:val="664"/>
  </w:style>
  <w:style w:type="paragraph" w:styleId="674" w:customStyle="1">
    <w:name w:val="Украинский"/>
    <w:basedOn w:val="664"/>
    <w:rPr>
      <w:lang w:val="uk-UA"/>
    </w:rPr>
  </w:style>
  <w:style w:type="table" w:styleId="675">
    <w:name w:val="Table Grid"/>
    <w:basedOn w:val="671"/>
    <w:pPr>
      <w:ind w:firstLine="284"/>
      <w:jc w:val="both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76">
    <w:name w:val="Footer"/>
    <w:basedOn w:val="664"/>
    <w:link w:val="677"/>
    <w:pPr>
      <w:tabs>
        <w:tab w:val="center" w:pos="4819" w:leader="none"/>
        <w:tab w:val="right" w:pos="9639" w:leader="none"/>
      </w:tabs>
    </w:pPr>
  </w:style>
  <w:style w:type="character" w:styleId="677" w:customStyle="1">
    <w:name w:val="Нижний колонтитул Знак"/>
    <w:link w:val="676"/>
    <w:rPr>
      <w:sz w:val="28"/>
      <w:lang w:val="ru-RU" w:eastAsia="ru-RU"/>
    </w:rPr>
  </w:style>
  <w:style w:type="paragraph" w:styleId="678">
    <w:name w:val="Header"/>
    <w:basedOn w:val="664"/>
    <w:link w:val="679"/>
    <w:pPr>
      <w:tabs>
        <w:tab w:val="center" w:pos="4819" w:leader="none"/>
        <w:tab w:val="right" w:pos="9639" w:leader="none"/>
      </w:tabs>
    </w:pPr>
  </w:style>
  <w:style w:type="character" w:styleId="679" w:customStyle="1">
    <w:name w:val="Верхний колонтитул Знак"/>
    <w:link w:val="678"/>
    <w:rPr>
      <w:sz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CFC5C2D-FFCE-46B1-B9E2-C2CCA5D5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СТАЛЬНИЧЕНКО Юрій Валерійович</cp:lastModifiedBy>
  <cp:revision>3</cp:revision>
  <dcterms:created xsi:type="dcterms:W3CDTF">2022-04-22T06:30:00Z</dcterms:created>
  <dcterms:modified xsi:type="dcterms:W3CDTF">2022-04-22T13:12:39Z</dcterms:modified>
</cp:coreProperties>
</file>