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6"/>
        <w:ind w:left="5670"/>
        <w:spacing w:lineRule="auto" w:line="240" w:after="0"/>
        <w:tabs>
          <w:tab w:val="left" w:pos="7088" w:leader="none"/>
        </w:tabs>
        <w:rPr>
          <w:rFonts w:ascii="Times New Roman" w:hAnsi="Times New Roman" w:cs="Times New Roman"/>
          <w:b w:val="false"/>
          <w:sz w:val="28"/>
          <w:szCs w:val="28"/>
        </w:rPr>
      </w:pPr>
      <w:r>
        <w:rPr>
          <w:rFonts w:ascii="Times New Roman" w:hAnsi="Times New Roman" w:cs="Times New Roman"/>
          <w:b w:val="false"/>
          <w:sz w:val="28"/>
          <w:szCs w:val="28"/>
          <w:lang w:val="uk-UA"/>
        </w:rPr>
        <w:t xml:space="preserve">Додаток 2</w:t>
      </w:r>
      <w:r>
        <w:rPr>
          <w:b w:val="false"/>
        </w:rPr>
      </w:r>
      <w:r/>
    </w:p>
    <w:p>
      <w:pPr>
        <w:ind w:left="5670"/>
        <w:jc w:val="both"/>
        <w:spacing w:lineRule="auto" w:line="240" w:after="0"/>
        <w:rPr>
          <w:rFonts w:ascii="Times New Roman" w:hAnsi="Times New Roman" w:cs="Times New Roman"/>
          <w:b w:val="false"/>
          <w:sz w:val="28"/>
          <w:szCs w:val="28"/>
          <w:lang w:val="uk-UA"/>
        </w:rPr>
      </w:pPr>
      <w:r>
        <w:rPr>
          <w:rFonts w:ascii="Times New Roman" w:hAnsi="Times New Roman" w:cs="Times New Roman"/>
          <w:b w:val="false"/>
          <w:sz w:val="28"/>
          <w:szCs w:val="28"/>
          <w:lang w:val="uk-UA"/>
        </w:rPr>
        <w:t xml:space="preserve">до рішення 18 сесії 8 скликання Менської міської ради </w:t>
      </w:r>
      <w:r>
        <w:rPr>
          <w:rFonts w:ascii="Times New Roman" w:hAnsi="Times New Roman" w:cs="Times New Roman"/>
          <w:b w:val="false"/>
          <w:sz w:val="28"/>
          <w:szCs w:val="28"/>
          <w:lang w:val="uk-UA"/>
        </w:rPr>
      </w:r>
      <w:r/>
    </w:p>
    <w:p>
      <w:pPr>
        <w:ind w:left="5670"/>
        <w:jc w:val="both"/>
        <w:spacing w:lineRule="auto" w:line="240" w:after="0"/>
        <w:rPr>
          <w:rFonts w:ascii="Times New Roman" w:hAnsi="Times New Roman" w:cs="Times New Roman"/>
          <w:b w:val="false"/>
          <w:sz w:val="28"/>
          <w:szCs w:val="28"/>
        </w:rPr>
      </w:pPr>
      <w:r>
        <w:rPr>
          <w:rFonts w:ascii="Times New Roman" w:hAnsi="Times New Roman" w:cs="Times New Roman"/>
          <w:b w:val="false"/>
          <w:sz w:val="28"/>
          <w:szCs w:val="28"/>
          <w:lang w:val="uk-UA"/>
        </w:rPr>
        <w:t xml:space="preserve">22 квітня 2022 №94</w:t>
      </w:r>
      <w:r>
        <w:rPr>
          <w:rFonts w:ascii="Times New Roman" w:hAnsi="Times New Roman" w:cs="Times New Roman"/>
          <w:b w:val="false"/>
          <w:sz w:val="28"/>
          <w:szCs w:val="28"/>
          <w:highlight w:val="none"/>
          <w:lang w:val="uk-UA"/>
        </w:rPr>
      </w:r>
      <w:r/>
    </w:p>
    <w:p>
      <w:pPr>
        <w:pStyle w:val="846"/>
        <w:ind w:left="5670"/>
        <w:spacing w:lineRule="auto" w:line="240" w:after="0"/>
        <w:tabs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46"/>
        <w:ind w:left="0"/>
        <w:jc w:val="center"/>
        <w:spacing w:lineRule="auto" w:line="240" w:after="0"/>
        <w:tabs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Порядок </w:t>
      </w:r>
      <w:r/>
    </w:p>
    <w:p>
      <w:pPr>
        <w:pStyle w:val="846"/>
        <w:ind w:left="0"/>
        <w:jc w:val="center"/>
        <w:spacing w:lineRule="auto" w:line="240" w:after="0"/>
        <w:tabs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розміру плати за тимчасове користування місцем розташування рекламних засобів, що перебуває у комунальній власності Менської міської територіальної громади</w:t>
      </w:r>
      <w:r/>
    </w:p>
    <w:p>
      <w:pPr>
        <w:pStyle w:val="846"/>
        <w:ind w:left="0"/>
        <w:jc w:val="center"/>
        <w:spacing w:lineRule="auto" w:line="240" w:after="0"/>
        <w:tabs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46"/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993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за право тимчасового користування місцем для розташування рекламних засобів, що перебуває у комунальній власності, складається з базових тарифів для спеціальних конструкцій зовнішньої реклами, які розміщенні на комунальній власності громади (табл. 1),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коригуючих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коефіцієнтів диференціації базового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тарифу (табл. 2), на які послідовно перемножуєт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ься базовий тариф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pStyle w:val="846"/>
        <w:ind w:left="0" w:firstLine="567"/>
        <w:jc w:val="both"/>
        <w:spacing w:lineRule="auto" w:line="240" w:after="0"/>
        <w:tabs>
          <w:tab w:val="left" w:pos="993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Розмір плати за право тимчасового користування місцем для розташування рекламного засобу розраховується в залежності від площі місця, на якому розташований рекламний засіб.</w:t>
      </w:r>
      <w:r/>
    </w:p>
    <w:p>
      <w:pPr>
        <w:pStyle w:val="846"/>
        <w:ind w:left="0" w:firstLine="567"/>
        <w:jc w:val="both"/>
        <w:spacing w:lineRule="auto" w:line="240" w:after="0"/>
        <w:tabs>
          <w:tab w:val="left" w:pos="993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Площа місця розташування рекламного засобу визначається як сума площі горизонтальної проекції рекламного засобу на це місце та прилеглої ділянки завширшки 0,5 м за периметром горизонтальної проекції цього засобу.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неназемного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надахового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рекламного засобу площа місця дорівнює площі вертикальної проекції цього засобу на уявну паралельну їй площину.</w:t>
      </w:r>
      <w:r/>
    </w:p>
    <w:p>
      <w:pPr>
        <w:pStyle w:val="846"/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993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випадку розміщення спеціальних конструкцій зовнішньої реклами складної конструкції, розрахунок сплачуваної площі ведеться у межах описаного прямокутника (зовнішні габарити).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/>
    </w:p>
    <w:p>
      <w:pPr>
        <w:pStyle w:val="846"/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993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розрахунку площі рекламного носія плата за неповний квадратний метр береться як за повний.</w:t>
      </w:r>
      <w:r/>
    </w:p>
    <w:p>
      <w:pPr>
        <w:pStyle w:val="846"/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993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користування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ісцями для розміщення транспарантів-перетяжок, що встановлюються над проїжджою частиною вулиць та шляхів, а також інших видів тимчасових спеціальних конструкцій, що розміщуються терміном до одного місяця, плата стягується з розрахунку, як за повний місяць.</w:t>
      </w:r>
      <w:r/>
    </w:p>
    <w:p>
      <w:pPr>
        <w:pStyle w:val="846"/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993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Виконавчих орган ради може щорічно переглядати тарифи на розміщення рекламних засобів у зв’язку з розвитком рекламного ринку у м.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відповідності із Законом України «Про засади державної регуляторної політики у сфері господарської діяльності».</w:t>
      </w:r>
      <w:r/>
    </w:p>
    <w:p>
      <w:pPr>
        <w:pStyle w:val="846"/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993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Розрахункові тарифи не враховують податок на додану вартість (20%), які мають бути обчислені додатково, відповідно до чинного законодавства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pStyle w:val="846"/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993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Розповсюджувач зовнішньої реклами не звільняється від плати за право тимчасового використання місця для розташування об’єктів зовнішньої реклами за відсутності рекламних конструкцій.</w:t>
      </w:r>
      <w:r/>
    </w:p>
    <w:p>
      <w:pPr>
        <w:pStyle w:val="846"/>
        <w:ind w:left="0" w:firstLine="567"/>
        <w:jc w:val="both"/>
        <w:spacing w:lineRule="auto" w:line="240" w:after="0"/>
        <w:tabs>
          <w:tab w:val="left" w:pos="993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цьому випадку розмір плати визначається відповідно до пункту 1 Порядку визначення розміру плати за тимчасове користування місцем розташування рекламних засобів, що перебуває у комунальній власності.</w:t>
      </w:r>
      <w:r/>
    </w:p>
    <w:p>
      <w:pPr>
        <w:pStyle w:val="846"/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993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Оплата згідно з розрахунковими тарифами плати за тимчасове користування місцем розташування рекламних засобів, що перебуває у комунальній власності, які затверджуються виконавчим органом ради, у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ідповідності з умовами договору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перераховується суб’єктами рекламної 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розмірі 100% до міського бюджету.</w:t>
      </w:r>
      <w:r/>
    </w:p>
    <w:p>
      <w:pPr>
        <w:pStyle w:val="846"/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993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Плата за право тимчасового використання місць для розташування об’єкту зовнішньої реклами перераховується розповсюджувачем зовнішньої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реклами до міського бюджету щомісячно, до 10 числа місяця наступного за звітним.</w:t>
      </w:r>
      <w:r/>
    </w:p>
    <w:p>
      <w:pPr>
        <w:pStyle w:val="846"/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993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Плата, перерахована несвоєчасно або не в повному обсязі, підлягає індексації відповідно до законодавства України.</w:t>
      </w:r>
      <w:r/>
    </w:p>
    <w:p>
      <w:pPr>
        <w:pStyle w:val="846"/>
        <w:ind w:left="0" w:firstLine="567"/>
        <w:jc w:val="both"/>
        <w:spacing w:lineRule="auto" w:line="240" w:after="0"/>
        <w:tabs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Табл. 1</w:t>
      </w:r>
      <w:r/>
    </w:p>
    <w:tbl>
      <w:tblPr>
        <w:tblStyle w:val="85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803"/>
        <w:gridCol w:w="1134"/>
        <w:gridCol w:w="1243"/>
      </w:tblGrid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7088" w:leader="none"/>
              </w:tabs>
              <w:rPr>
                <w:rFonts w:ascii="Times New Roman" w:hAnsi="Times New Roman" w:cs="Times New Roman"/>
                <w:sz w:val="2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val="uk-UA"/>
              </w:rPr>
              <w:t xml:space="preserve">№ п/</w:t>
            </w:r>
            <w:r>
              <w:rPr>
                <w:rFonts w:ascii="Times New Roman" w:hAnsi="Times New Roman" w:cs="Times New Roman"/>
                <w:sz w:val="22"/>
                <w:szCs w:val="28"/>
                <w:lang w:val="uk-UA"/>
              </w:rPr>
              <w:t xml:space="preserve">п</w:t>
            </w:r>
            <w:r>
              <w:rPr>
                <w:sz w:val="18"/>
              </w:rPr>
            </w:r>
            <w:r/>
          </w:p>
        </w:tc>
        <w:tc>
          <w:tcPr>
            <w:tcW w:w="6803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7088" w:leader="none"/>
              </w:tabs>
              <w:rPr>
                <w:rFonts w:ascii="Times New Roman" w:hAnsi="Times New Roman" w:cs="Times New Roman"/>
                <w:sz w:val="2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val="uk-UA"/>
              </w:rPr>
              <w:t xml:space="preserve">Вид спеціальної конструкції </w:t>
            </w:r>
            <w:r>
              <w:rPr>
                <w:sz w:val="18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7088" w:leader="none"/>
              </w:tabs>
              <w:rPr>
                <w:rFonts w:ascii="Times New Roman" w:hAnsi="Times New Roman" w:cs="Times New Roman"/>
                <w:sz w:val="2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val="uk-UA"/>
              </w:rPr>
              <w:t xml:space="preserve">Одиниця виміру</w:t>
            </w:r>
            <w:r>
              <w:rPr>
                <w:sz w:val="18"/>
              </w:rPr>
            </w:r>
            <w:r/>
          </w:p>
        </w:tc>
        <w:tc>
          <w:tcPr>
            <w:tcW w:w="1243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7088" w:leader="none"/>
              </w:tabs>
              <w:rPr>
                <w:rFonts w:ascii="Times New Roman" w:hAnsi="Times New Roman" w:cs="Times New Roman"/>
                <w:sz w:val="2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val="uk-UA"/>
              </w:rPr>
              <w:t xml:space="preserve">Місячна</w:t>
            </w:r>
            <w:r>
              <w:rPr>
                <w:rFonts w:ascii="Times New Roman" w:hAnsi="Times New Roman" w:cs="Times New Roman"/>
                <w:sz w:val="22"/>
                <w:szCs w:val="28"/>
                <w:lang w:val="uk-UA"/>
              </w:rPr>
              <w:t xml:space="preserve"> плата, </w:t>
            </w:r>
            <w:r>
              <w:rPr>
                <w:rFonts w:ascii="Times New Roman" w:hAnsi="Times New Roman" w:cs="Times New Roman"/>
                <w:sz w:val="22"/>
                <w:szCs w:val="28"/>
                <w:lang w:val="uk-UA"/>
              </w:rPr>
              <w:t xml:space="preserve">грн</w:t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680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Щит (спеціальна наземна конструкція), що стоїть окремо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2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680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Щит (спеціальна конструкція) на фасаді або торці будинку (будівлі)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2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</w:t>
            </w:r>
            <w:r/>
          </w:p>
        </w:tc>
        <w:tc>
          <w:tcPr>
            <w:tcW w:w="680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Щит на тимчасовій споруді, паркані, буд майданчиках, стовпах, опорах, колонах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2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</w:t>
            </w:r>
            <w:r/>
          </w:p>
        </w:tc>
        <w:tc>
          <w:tcPr>
            <w:tcW w:w="680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Лайтпостер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що стоїть окремо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2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</w:t>
            </w:r>
            <w:r/>
          </w:p>
        </w:tc>
        <w:tc>
          <w:tcPr>
            <w:tcW w:w="680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Лайтпостер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стовпах, опорах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2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</w:t>
            </w:r>
            <w:r/>
          </w:p>
        </w:tc>
        <w:tc>
          <w:tcPr>
            <w:tcW w:w="680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Лайтпостер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що є складовою частини павільйону очікування громадського транспорту, кіоску, фасаду або торця будинку (будівлі)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2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</w:t>
            </w:r>
            <w:r/>
          </w:p>
        </w:tc>
        <w:tc>
          <w:tcPr>
            <w:tcW w:w="680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Банер, панно,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фасаді або торці будинку (будівлі) на паркані, на захисній будівельній сітці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2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</w:t>
            </w:r>
            <w:r/>
          </w:p>
        </w:tc>
        <w:tc>
          <w:tcPr>
            <w:tcW w:w="680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Конструкція розміщена на кронштейнах</w:t>
            </w:r>
            <w:r/>
          </w:p>
          <w:p>
            <w:pPr>
              <w:pStyle w:val="846"/>
              <w:numPr>
                <w:ilvl w:val="0"/>
                <w:numId w:val="3"/>
              </w:numPr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фасаді або торці будинку (будівлі)</w:t>
            </w:r>
            <w:r/>
          </w:p>
          <w:p>
            <w:pPr>
              <w:pStyle w:val="846"/>
              <w:numPr>
                <w:ilvl w:val="0"/>
                <w:numId w:val="3"/>
              </w:numPr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стовпах, опорах, колонах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2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</w:t>
            </w:r>
            <w:r/>
          </w:p>
        </w:tc>
        <w:tc>
          <w:tcPr>
            <w:tcW w:w="680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Тумба, об’ємно-просторова конструкція, інформаційно-цінові покажчики, що стоять окремо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2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</w:t>
            </w:r>
            <w:r/>
          </w:p>
        </w:tc>
        <w:tc>
          <w:tcPr>
            <w:tcW w:w="680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Електронне табло, «рядок, що біжить»,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екрани, світова газета,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лайт-бокс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розташовані на стовпах, опорах, на фасаді та торці будинку (будівлі), або є складовою частиною фасаду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2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</w:t>
            </w:r>
            <w:r/>
          </w:p>
        </w:tc>
      </w:tr>
    </w:tbl>
    <w:tbl>
      <w:tblPr>
        <w:tblStyle w:val="85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803"/>
        <w:gridCol w:w="1134"/>
        <w:gridCol w:w="1243"/>
      </w:tblGrid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</w:t>
            </w:r>
            <w:r/>
          </w:p>
        </w:tc>
        <w:tc>
          <w:tcPr>
            <w:tcW w:w="680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Світлові художньо-просторові рекламні композиції (неон, світловий шнур)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2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</w:t>
            </w:r>
            <w:r/>
          </w:p>
        </w:tc>
        <w:tc>
          <w:tcPr>
            <w:tcW w:w="680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Конструкції на даху будинку (будівлі), споруди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2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</w:t>
            </w:r>
            <w:r/>
          </w:p>
        </w:tc>
        <w:tc>
          <w:tcPr>
            <w:tcW w:w="680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Рекламна вивіска, напис на будинку (будівлі), споруді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2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</w:t>
            </w:r>
            <w:r/>
          </w:p>
        </w:tc>
        <w:tc>
          <w:tcPr>
            <w:tcW w:w="680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Пневмостенд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повітряна куля, які використовуються як рекламоносії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val="uk-UA"/>
              </w:rPr>
              <w:t xml:space="preserve">За одиницю</w:t>
            </w:r>
            <w:r>
              <w:rPr>
                <w:sz w:val="18"/>
              </w:rPr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150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</w:t>
            </w:r>
            <w:r/>
          </w:p>
        </w:tc>
        <w:tc>
          <w:tcPr>
            <w:tcW w:w="680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Транспаранти-перетяжки,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троли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val="uk-UA"/>
              </w:rPr>
            </w:r>
            <w:r>
              <w:rPr>
                <w:sz w:val="18"/>
              </w:rPr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</w:t>
            </w:r>
            <w:r/>
          </w:p>
        </w:tc>
        <w:tc>
          <w:tcPr>
            <w:tcW w:w="680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Телефонні кабіни, урни, інші об’єкти зовнішнього благоустрою, які використовуються як рекламо носії 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val="uk-UA"/>
              </w:rPr>
              <w:t xml:space="preserve">За одиницю</w:t>
            </w:r>
            <w:r>
              <w:rPr>
                <w:sz w:val="18"/>
              </w:rPr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</w:t>
            </w:r>
            <w:r/>
          </w:p>
        </w:tc>
        <w:tc>
          <w:tcPr>
            <w:tcW w:w="680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Прапор, парасоля, намет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які використовуються як рекламо носії 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val="uk-UA"/>
              </w:rPr>
              <w:t xml:space="preserve">За одиницю</w:t>
            </w:r>
            <w:r>
              <w:rPr>
                <w:sz w:val="18"/>
              </w:rPr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</w:t>
            </w:r>
            <w:r/>
          </w:p>
        </w:tc>
        <w:tc>
          <w:tcPr>
            <w:tcW w:w="680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Аудіо-рекламна акція з використанням міського середовища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val="uk-UA"/>
              </w:rPr>
              <w:t xml:space="preserve">За одиницю</w:t>
            </w:r>
            <w:r>
              <w:rPr>
                <w:sz w:val="18"/>
              </w:rPr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</w:t>
            </w:r>
            <w:r/>
          </w:p>
        </w:tc>
        <w:tc>
          <w:tcPr>
            <w:tcW w:w="680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Рекламні акції з демонстрацією зразків продукції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val="uk-UA"/>
              </w:rPr>
              <w:t xml:space="preserve">За одиницю</w:t>
            </w:r>
            <w:r>
              <w:rPr>
                <w:sz w:val="18"/>
              </w:rPr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</w:t>
            </w:r>
            <w:r/>
          </w:p>
        </w:tc>
        <w:tc>
          <w:tcPr>
            <w:tcW w:w="680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Тимчасова виносна спеціальна конструкція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val="uk-UA"/>
              </w:rPr>
              <w:t xml:space="preserve">За одиницю</w:t>
            </w:r>
            <w:r>
              <w:rPr>
                <w:sz w:val="18"/>
              </w:rPr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</w:t>
            </w:r>
            <w:r/>
          </w:p>
        </w:tc>
        <w:tc>
          <w:tcPr>
            <w:tcW w:w="680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Концертна, театральна, гастрольна зовнішня рекламна та реклама виставок товарів та послуг і тому подібне</w:t>
            </w:r>
            <w:r/>
          </w:p>
          <w:p>
            <w:pPr>
              <w:pStyle w:val="846"/>
              <w:numPr>
                <w:ilvl w:val="0"/>
                <w:numId w:val="3"/>
              </w:numPr>
              <w:ind w:left="34" w:firstLine="326"/>
              <w:jc w:val="both"/>
              <w:tabs>
                <w:tab w:val="left" w:pos="604" w:leader="none"/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щитова, банери, перетяжки на фасаді будинків (будівель), на опорах, стовпах, парканах</w:t>
            </w:r>
            <w:r/>
          </w:p>
          <w:p>
            <w:pPr>
              <w:pStyle w:val="846"/>
              <w:numPr>
                <w:ilvl w:val="0"/>
                <w:numId w:val="3"/>
              </w:numPr>
              <w:ind w:left="34" w:firstLine="326"/>
              <w:jc w:val="both"/>
              <w:tabs>
                <w:tab w:val="left" w:pos="604" w:leader="none"/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афіші</w:t>
            </w:r>
            <w:r/>
          </w:p>
          <w:p>
            <w:pPr>
              <w:pStyle w:val="846"/>
              <w:numPr>
                <w:ilvl w:val="0"/>
                <w:numId w:val="3"/>
              </w:numPr>
              <w:ind w:left="34" w:firstLine="326"/>
              <w:jc w:val="both"/>
              <w:tabs>
                <w:tab w:val="left" w:pos="604" w:leader="none"/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об’яви та оголошення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2</w:t>
            </w:r>
            <w:r/>
          </w:p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val="uk-UA"/>
              </w:rPr>
              <w:t xml:space="preserve">За одиницю</w:t>
            </w:r>
            <w:r>
              <w:rPr>
                <w:sz w:val="18"/>
              </w:rPr>
            </w:r>
            <w:r/>
          </w:p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val="uk-UA"/>
              </w:rPr>
              <w:t xml:space="preserve">За одиницю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</w:t>
            </w:r>
            <w:r/>
          </w:p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</w:t>
            </w:r>
            <w:r/>
          </w:p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</w:t>
            </w:r>
            <w:r/>
          </w:p>
        </w:tc>
        <w:tc>
          <w:tcPr>
            <w:tcW w:w="680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Графічна (лазерна) проекційна установка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val="uk-UA"/>
              </w:rPr>
              <w:t xml:space="preserve">За одиницю</w:t>
            </w:r>
            <w:r>
              <w:rPr>
                <w:sz w:val="18"/>
              </w:rPr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1250</w:t>
            </w:r>
            <w:r/>
          </w:p>
        </w:tc>
      </w:tr>
    </w:tbl>
    <w:p>
      <w:pPr>
        <w:pStyle w:val="846"/>
        <w:ind w:left="0" w:firstLine="567"/>
        <w:jc w:val="both"/>
        <w:spacing w:lineRule="auto" w:line="240" w:after="0"/>
        <w:tabs>
          <w:tab w:val="left" w:pos="993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Табл. 2</w:t>
      </w:r>
      <w:r/>
    </w:p>
    <w:tbl>
      <w:tblPr>
        <w:tblStyle w:val="85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937"/>
        <w:gridCol w:w="1243"/>
      </w:tblGrid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993" w:leader="none"/>
                <w:tab w:val="left" w:pos="7088" w:leader="none"/>
              </w:tabs>
              <w:rPr>
                <w:rFonts w:ascii="Times New Roman" w:hAnsi="Times New Roman" w:cs="Times New Roman"/>
                <w:sz w:val="20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 xml:space="preserve">№ п/</w:t>
            </w:r>
            <w:r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 xml:space="preserve">п</w:t>
            </w:r>
            <w:r>
              <w:rPr>
                <w:sz w:val="16"/>
              </w:rPr>
            </w:r>
            <w:r/>
          </w:p>
        </w:tc>
        <w:tc>
          <w:tcPr>
            <w:tcW w:w="7937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993" w:leader="none"/>
                <w:tab w:val="left" w:pos="7088" w:leader="none"/>
              </w:tabs>
              <w:rPr>
                <w:rFonts w:ascii="Times New Roman" w:hAnsi="Times New Roman" w:cs="Times New Roman"/>
                <w:sz w:val="20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 xml:space="preserve">Зміст </w:t>
            </w:r>
            <w:r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 xml:space="preserve">коригуючих</w:t>
            </w:r>
            <w:r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 xml:space="preserve"> обставин</w:t>
            </w:r>
            <w:r>
              <w:rPr>
                <w:sz w:val="16"/>
              </w:rPr>
            </w:r>
            <w:r/>
          </w:p>
        </w:tc>
        <w:tc>
          <w:tcPr>
            <w:tcBorders>
              <w:bottom w:val="single" w:sz="4" w:space="0" w:color="auto"/>
            </w:tcBorders>
            <w:tcW w:w="1243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993" w:leader="none"/>
                <w:tab w:val="left" w:pos="7088" w:leader="none"/>
              </w:tabs>
              <w:rPr>
                <w:rFonts w:ascii="Times New Roman" w:hAnsi="Times New Roman" w:cs="Times New Roman"/>
                <w:sz w:val="20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 xml:space="preserve">Коефіцієнт</w:t>
            </w:r>
            <w:r>
              <w:rPr>
                <w:sz w:val="16"/>
              </w:rPr>
            </w:r>
            <w:r/>
          </w:p>
        </w:tc>
      </w:tr>
      <w:tr>
        <w:trPr/>
        <w:tc>
          <w:tcPr>
            <w:tcW w:w="675" w:type="dxa"/>
            <w:vAlign w:val="center"/>
            <w:vMerge w:val="restart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993" w:leader="none"/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Borders>
              <w:bottom w:val="none" w:color="000000" w:sz="4" w:space="0"/>
            </w:tcBorders>
            <w:tcW w:w="7937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993" w:leader="none"/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залежності від місць розташування:</w:t>
            </w:r>
            <w:r/>
          </w:p>
        </w:tc>
        <w:tc>
          <w:tcPr>
            <w:tcBorders>
              <w:bottom w:val="none" w:color="000000" w:sz="4" w:space="0"/>
            </w:tcBorders>
            <w:tcW w:w="124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993" w:leader="none"/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993" w:leader="none"/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937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993" w:leader="none"/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Зона 1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вулиці, чере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які пролягає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національн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авто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мобільна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доро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га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загального користування державного значення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Н-27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Чернігів-Мена-Сосниця-Грем’яч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3" w:type="dxa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993" w:leader="none"/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1,5</w:t>
            </w:r>
            <w:r/>
          </w:p>
        </w:tc>
      </w:tr>
      <w:tr>
        <w:trPr/>
        <w:tc>
          <w:tcPr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993" w:leader="none"/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937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993" w:leader="none"/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Зона 2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території вулиць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через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пролягає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територіальн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і авто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мобільні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дороги загального користування державного значення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Т-25-34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та Т-25-36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3" w:type="dxa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993" w:leader="none"/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1,2</w:t>
            </w:r>
            <w:r/>
          </w:p>
        </w:tc>
      </w:tr>
      <w:tr>
        <w:trPr/>
        <w:tc>
          <w:tcPr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993" w:leader="none"/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7937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993" w:leader="none"/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Зона 3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території вулиць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що не увійшли до зон 1 та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місті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Мена</w:t>
            </w:r>
            <w:r/>
          </w:p>
          <w:p>
            <w:pPr>
              <w:pStyle w:val="846"/>
              <w:ind w:left="0"/>
              <w:jc w:val="both"/>
              <w:tabs>
                <w:tab w:val="left" w:pos="993" w:leader="none"/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Зона 4 - території вулиць, що не увійшли до зон 1 та 2 в сільських/селищних населених пунктах</w:t>
            </w:r>
            <w:r/>
          </w:p>
        </w:tc>
        <w:tc>
          <w:tcPr>
            <w:tcBorders>
              <w:top w:val="none" w:color="000000" w:sz="4" w:space="0"/>
            </w:tcBorders>
            <w:tcW w:w="1243" w:type="dxa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993" w:leader="none"/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1,0</w:t>
            </w:r>
            <w:r/>
          </w:p>
          <w:p>
            <w:pPr>
              <w:pStyle w:val="846"/>
              <w:ind w:left="0"/>
              <w:jc w:val="center"/>
              <w:tabs>
                <w:tab w:val="left" w:pos="993" w:leader="none"/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pStyle w:val="846"/>
              <w:ind w:left="0"/>
              <w:jc w:val="center"/>
              <w:tabs>
                <w:tab w:val="left" w:pos="993" w:leader="none"/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0,8</w:t>
            </w:r>
            <w:r/>
          </w:p>
        </w:tc>
      </w:tr>
    </w:tbl>
    <w:tbl>
      <w:tblPr>
        <w:tblStyle w:val="85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937"/>
        <w:gridCol w:w="1243"/>
      </w:tblGrid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7937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993" w:leader="none"/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Розміщення неосвітлених засобів зовнішньої реклами до пунктів 1,2,3,8,9,12,13 таблиці 1</w:t>
            </w:r>
            <w:r/>
          </w:p>
        </w:tc>
        <w:tc>
          <w:tcPr>
            <w:tcW w:w="1243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993" w:leader="none"/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1,5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993" w:leader="none"/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</w:t>
            </w:r>
            <w:r/>
          </w:p>
        </w:tc>
        <w:tc>
          <w:tcPr>
            <w:tcW w:w="7937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993" w:leader="none"/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Розміщення соціальної реклами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993" w:leader="none"/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0,5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993" w:leader="none"/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</w:t>
            </w:r>
            <w:r/>
          </w:p>
        </w:tc>
        <w:tc>
          <w:tcPr>
            <w:tcW w:w="7937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993" w:leader="none"/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Розміщення рекламної продукції місцевого виробника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993" w:leader="none"/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0,7</w:t>
            </w:r>
            <w:r/>
          </w:p>
        </w:tc>
      </w:tr>
    </w:tbl>
    <w:p>
      <w:pPr>
        <w:jc w:val="both"/>
        <w:spacing w:lineRule="auto" w:line="240" w:after="0"/>
        <w:tabs>
          <w:tab w:val="left" w:pos="993" w:leader="none"/>
          <w:tab w:val="left" w:pos="7088" w:leader="none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</w:r>
      <w:r>
        <w:rPr>
          <w:rFonts w:ascii="Times New Roman" w:hAnsi="Times New Roman" w:cs="Times New Roman"/>
          <w:lang w:val="uk-UA"/>
        </w:rPr>
      </w:r>
    </w:p>
    <w:p>
      <w:pPr>
        <w:jc w:val="both"/>
        <w:spacing w:lineRule="auto" w:line="240" w:after="0"/>
        <w:tabs>
          <w:tab w:val="left" w:pos="993" w:leader="none"/>
          <w:tab w:val="left" w:pos="7088" w:leader="none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</w:r>
      <w:r/>
    </w:p>
    <w:p>
      <w:pPr>
        <w:jc w:val="both"/>
        <w:spacing w:lineRule="auto" w:line="240" w:after="0"/>
        <w:tabs>
          <w:tab w:val="left" w:pos="993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спеціаліст, в.о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начальника 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jc w:val="both"/>
        <w:spacing w:lineRule="auto" w:line="240" w:after="0"/>
        <w:tabs>
          <w:tab w:val="left" w:pos="993" w:leader="none"/>
          <w:tab w:val="left" w:pos="7088" w:leader="none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архітектури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містобудування 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jc w:val="both"/>
        <w:spacing w:lineRule="auto" w:line="240" w:after="0"/>
        <w:tabs>
          <w:tab w:val="left" w:pos="993" w:leader="none"/>
          <w:tab w:val="left" w:pos="7088" w:leader="none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Андрій ЮЩЕНКО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6" w:bottom="1134" w:left="1701" w:header="56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301919442"/>
      <w:docPartObj>
        <w:docPartGallery w:val="Page Numbers (Top of Page)"/>
        <w:docPartUnique w:val="true"/>
      </w:docPartObj>
      <w:rPr/>
    </w:sdtPr>
    <w:sdtContent>
      <w:p>
        <w:pPr>
          <w:pStyle w:val="849"/>
          <w:ind w:firstLine="4678"/>
          <w:tabs>
            <w:tab w:val="clear" w:pos="4677" w:leader="none"/>
            <w:tab w:val="left" w:pos="4678" w:leader="none"/>
            <w:tab w:val="left" w:pos="7088" w:leader="none"/>
          </w:tabs>
        </w:pPr>
        <w:r>
          <w:fldChar w:fldCharType="begin"/>
        </w:r>
        <w:r>
          <w:instrText xml:space="preserve">PAGE   \* MERGEFORMAT</w:instrText>
        </w:r>
        <w:r>
          <w:rPr>
            <w:i/>
            <w:sz w:val="24"/>
          </w:rPr>
          <w:fldChar w:fldCharType="separate"/>
        </w:r>
        <w:r>
          <w:rPr>
            <w:i/>
            <w:sz w:val="24"/>
          </w:rPr>
          <w:t xml:space="preserve">4</w:t>
        </w:r>
        <w:r>
          <w:rPr>
            <w:i/>
            <w:sz w:val="24"/>
          </w:rPr>
          <w:fldChar w:fldCharType="end"/>
        </w:r>
        <w:r>
          <w:rPr>
            <w:i/>
            <w:sz w:val="24"/>
            <w:lang w:val="uk-UA"/>
          </w:rPr>
          <w:t xml:space="preserve"> </w:t>
        </w:r>
        <w:r>
          <w:rPr>
            <w:i/>
            <w:sz w:val="24"/>
            <w:lang w:val="uk-UA"/>
          </w:rPr>
          <w:tab/>
        </w:r>
        <w:r>
          <w:rPr>
            <w:rFonts w:ascii="Times New Roman" w:hAnsi="Times New Roman" w:cs="Times New Roman"/>
            <w:i/>
            <w:sz w:val="24"/>
            <w:szCs w:val="24"/>
            <w:lang w:val="uk-UA"/>
          </w:rPr>
          <w:t xml:space="preserve">Про</w:t>
        </w:r>
        <w:r>
          <w:rPr>
            <w:rFonts w:ascii="Times New Roman" w:hAnsi="Times New Roman" w:cs="Times New Roman"/>
            <w:i/>
            <w:sz w:val="24"/>
            <w:szCs w:val="24"/>
            <w:lang w:val="uk-UA"/>
          </w:rPr>
          <w:t xml:space="preserve">довження додатка</w:t>
        </w:r>
        <w:r/>
      </w:p>
    </w:sdtContent>
  </w:sdt>
  <w:p>
    <w:pPr>
      <w:pStyle w:val="84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8">
    <w:name w:val="Heading 1"/>
    <w:basedOn w:val="841"/>
    <w:next w:val="841"/>
    <w:link w:val="66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9">
    <w:name w:val="Heading 1 Char"/>
    <w:basedOn w:val="843"/>
    <w:link w:val="668"/>
    <w:uiPriority w:val="9"/>
    <w:rPr>
      <w:rFonts w:ascii="Arial" w:hAnsi="Arial" w:cs="Arial" w:eastAsia="Arial"/>
      <w:sz w:val="40"/>
      <w:szCs w:val="40"/>
    </w:rPr>
  </w:style>
  <w:style w:type="paragraph" w:styleId="670">
    <w:name w:val="Heading 2"/>
    <w:basedOn w:val="841"/>
    <w:next w:val="841"/>
    <w:link w:val="67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71">
    <w:name w:val="Heading 2 Char"/>
    <w:basedOn w:val="843"/>
    <w:link w:val="670"/>
    <w:uiPriority w:val="9"/>
    <w:rPr>
      <w:rFonts w:ascii="Arial" w:hAnsi="Arial" w:cs="Arial" w:eastAsia="Arial"/>
      <w:sz w:val="34"/>
    </w:rPr>
  </w:style>
  <w:style w:type="character" w:styleId="672">
    <w:name w:val="Heading 3 Char"/>
    <w:basedOn w:val="843"/>
    <w:link w:val="842"/>
    <w:uiPriority w:val="9"/>
    <w:rPr>
      <w:rFonts w:ascii="Arial" w:hAnsi="Arial" w:cs="Arial" w:eastAsia="Arial"/>
      <w:sz w:val="30"/>
      <w:szCs w:val="30"/>
    </w:rPr>
  </w:style>
  <w:style w:type="paragraph" w:styleId="673">
    <w:name w:val="Heading 4"/>
    <w:basedOn w:val="841"/>
    <w:next w:val="841"/>
    <w:link w:val="67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4">
    <w:name w:val="Heading 4 Char"/>
    <w:basedOn w:val="843"/>
    <w:link w:val="673"/>
    <w:uiPriority w:val="9"/>
    <w:rPr>
      <w:rFonts w:ascii="Arial" w:hAnsi="Arial" w:cs="Arial" w:eastAsia="Arial"/>
      <w:b/>
      <w:bCs/>
      <w:sz w:val="26"/>
      <w:szCs w:val="26"/>
    </w:rPr>
  </w:style>
  <w:style w:type="paragraph" w:styleId="675">
    <w:name w:val="Heading 5"/>
    <w:basedOn w:val="841"/>
    <w:next w:val="841"/>
    <w:link w:val="67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6">
    <w:name w:val="Heading 5 Char"/>
    <w:basedOn w:val="843"/>
    <w:link w:val="675"/>
    <w:uiPriority w:val="9"/>
    <w:rPr>
      <w:rFonts w:ascii="Arial" w:hAnsi="Arial" w:cs="Arial" w:eastAsia="Arial"/>
      <w:b/>
      <w:bCs/>
      <w:sz w:val="24"/>
      <w:szCs w:val="24"/>
    </w:rPr>
  </w:style>
  <w:style w:type="paragraph" w:styleId="677">
    <w:name w:val="Heading 6"/>
    <w:basedOn w:val="841"/>
    <w:next w:val="841"/>
    <w:link w:val="67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8">
    <w:name w:val="Heading 6 Char"/>
    <w:basedOn w:val="843"/>
    <w:link w:val="677"/>
    <w:uiPriority w:val="9"/>
    <w:rPr>
      <w:rFonts w:ascii="Arial" w:hAnsi="Arial" w:cs="Arial" w:eastAsia="Arial"/>
      <w:b/>
      <w:bCs/>
      <w:sz w:val="22"/>
      <w:szCs w:val="22"/>
    </w:rPr>
  </w:style>
  <w:style w:type="paragraph" w:styleId="679">
    <w:name w:val="Heading 7"/>
    <w:basedOn w:val="841"/>
    <w:next w:val="841"/>
    <w:link w:val="68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80">
    <w:name w:val="Heading 7 Char"/>
    <w:basedOn w:val="843"/>
    <w:link w:val="67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1">
    <w:name w:val="Heading 8"/>
    <w:basedOn w:val="841"/>
    <w:next w:val="841"/>
    <w:link w:val="68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2">
    <w:name w:val="Heading 8 Char"/>
    <w:basedOn w:val="843"/>
    <w:link w:val="681"/>
    <w:uiPriority w:val="9"/>
    <w:rPr>
      <w:rFonts w:ascii="Arial" w:hAnsi="Arial" w:cs="Arial" w:eastAsia="Arial"/>
      <w:i/>
      <w:iCs/>
      <w:sz w:val="22"/>
      <w:szCs w:val="22"/>
    </w:rPr>
  </w:style>
  <w:style w:type="paragraph" w:styleId="683">
    <w:name w:val="Heading 9"/>
    <w:basedOn w:val="841"/>
    <w:next w:val="841"/>
    <w:link w:val="68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4">
    <w:name w:val="Heading 9 Char"/>
    <w:basedOn w:val="843"/>
    <w:link w:val="683"/>
    <w:uiPriority w:val="9"/>
    <w:rPr>
      <w:rFonts w:ascii="Arial" w:hAnsi="Arial" w:cs="Arial" w:eastAsia="Arial"/>
      <w:i/>
      <w:iCs/>
      <w:sz w:val="21"/>
      <w:szCs w:val="21"/>
    </w:rPr>
  </w:style>
  <w:style w:type="paragraph" w:styleId="685">
    <w:name w:val="No Spacing"/>
    <w:qFormat/>
    <w:uiPriority w:val="1"/>
    <w:pPr>
      <w:spacing w:lineRule="auto" w:line="240" w:after="0" w:before="0"/>
    </w:pPr>
  </w:style>
  <w:style w:type="paragraph" w:styleId="686">
    <w:name w:val="Title"/>
    <w:basedOn w:val="841"/>
    <w:next w:val="841"/>
    <w:link w:val="68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7">
    <w:name w:val="Title Char"/>
    <w:basedOn w:val="843"/>
    <w:link w:val="686"/>
    <w:uiPriority w:val="10"/>
    <w:rPr>
      <w:sz w:val="48"/>
      <w:szCs w:val="48"/>
    </w:rPr>
  </w:style>
  <w:style w:type="paragraph" w:styleId="688">
    <w:name w:val="Subtitle"/>
    <w:basedOn w:val="841"/>
    <w:next w:val="841"/>
    <w:link w:val="689"/>
    <w:qFormat/>
    <w:uiPriority w:val="11"/>
    <w:rPr>
      <w:sz w:val="24"/>
      <w:szCs w:val="24"/>
    </w:rPr>
    <w:pPr>
      <w:spacing w:after="200" w:before="200"/>
    </w:pPr>
  </w:style>
  <w:style w:type="character" w:styleId="689">
    <w:name w:val="Subtitle Char"/>
    <w:basedOn w:val="843"/>
    <w:link w:val="688"/>
    <w:uiPriority w:val="11"/>
    <w:rPr>
      <w:sz w:val="24"/>
      <w:szCs w:val="24"/>
    </w:rPr>
  </w:style>
  <w:style w:type="paragraph" w:styleId="690">
    <w:name w:val="Quote"/>
    <w:basedOn w:val="841"/>
    <w:next w:val="841"/>
    <w:link w:val="691"/>
    <w:qFormat/>
    <w:uiPriority w:val="29"/>
    <w:rPr>
      <w:i/>
    </w:rPr>
    <w:pPr>
      <w:ind w:left="720" w:right="720"/>
    </w:pPr>
  </w:style>
  <w:style w:type="character" w:styleId="691">
    <w:name w:val="Quote Char"/>
    <w:link w:val="690"/>
    <w:uiPriority w:val="29"/>
    <w:rPr>
      <w:i/>
    </w:rPr>
  </w:style>
  <w:style w:type="paragraph" w:styleId="692">
    <w:name w:val="Intense Quote"/>
    <w:basedOn w:val="841"/>
    <w:next w:val="841"/>
    <w:link w:val="69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3">
    <w:name w:val="Intense Quote Char"/>
    <w:link w:val="692"/>
    <w:uiPriority w:val="30"/>
    <w:rPr>
      <w:i/>
    </w:rPr>
  </w:style>
  <w:style w:type="character" w:styleId="694">
    <w:name w:val="Header Char"/>
    <w:basedOn w:val="843"/>
    <w:link w:val="849"/>
    <w:uiPriority w:val="99"/>
  </w:style>
  <w:style w:type="character" w:styleId="695">
    <w:name w:val="Footer Char"/>
    <w:basedOn w:val="843"/>
    <w:link w:val="851"/>
    <w:uiPriority w:val="99"/>
  </w:style>
  <w:style w:type="paragraph" w:styleId="696">
    <w:name w:val="Caption"/>
    <w:basedOn w:val="841"/>
    <w:next w:val="84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7">
    <w:name w:val="Caption Char"/>
    <w:basedOn w:val="696"/>
    <w:link w:val="851"/>
    <w:uiPriority w:val="99"/>
  </w:style>
  <w:style w:type="table" w:styleId="698">
    <w:name w:val="Table Grid Light"/>
    <w:basedOn w:val="84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>
    <w:name w:val="Plain Table 1"/>
    <w:basedOn w:val="84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2"/>
    <w:basedOn w:val="84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2">
    <w:name w:val="Plain Table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Plain Table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4">
    <w:name w:val="Grid Table 1 Light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2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2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2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2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2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2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3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3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3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3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3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4"/>
    <w:basedOn w:val="8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6">
    <w:name w:val="Grid Table 4 - Accent 1"/>
    <w:basedOn w:val="8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7">
    <w:name w:val="Grid Table 4 - Accent 2"/>
    <w:basedOn w:val="8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8">
    <w:name w:val="Grid Table 4 - Accent 3"/>
    <w:basedOn w:val="8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9">
    <w:name w:val="Grid Table 4 - Accent 4"/>
    <w:basedOn w:val="8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30">
    <w:name w:val="Grid Table 4 - Accent 5"/>
    <w:basedOn w:val="8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31">
    <w:name w:val="Grid Table 4 - Accent 6"/>
    <w:basedOn w:val="8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32">
    <w:name w:val="Grid Table 5 Dark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33">
    <w:name w:val="Grid Table 5 Dark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34">
    <w:name w:val="Grid Table 5 Dark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35">
    <w:name w:val="Grid Table 5 Dark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36">
    <w:name w:val="Grid Table 5 Dark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37">
    <w:name w:val="Grid Table 5 Dark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38">
    <w:name w:val="Grid Table 5 Dark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39">
    <w:name w:val="Grid Table 6 Colorful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0">
    <w:name w:val="Grid Table 6 Colorful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1">
    <w:name w:val="Grid Table 6 Colorful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2">
    <w:name w:val="Grid Table 6 Colorful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3">
    <w:name w:val="Grid Table 6 Colorful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4">
    <w:name w:val="Grid Table 6 Colorful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6 Colorful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6">
    <w:name w:val="Grid Table 7 Colorful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7 Colorful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7 Colorful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7 Colorful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7 Colorful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7 Colorful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7 Colorful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1 Light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1 Light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1 Light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List Table 1 Light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1 Light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List Table 1 Light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List Table 1 Light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List Table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1">
    <w:name w:val="List Table 2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62">
    <w:name w:val="List Table 2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63">
    <w:name w:val="List Table 2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4">
    <w:name w:val="List Table 2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5">
    <w:name w:val="List Table 2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6">
    <w:name w:val="List Table 2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7">
    <w:name w:val="List Table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5 Dark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6 Colorful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9">
    <w:name w:val="List Table 6 Colorful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90">
    <w:name w:val="List Table 6 Colorful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91">
    <w:name w:val="List Table 6 Colorful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92">
    <w:name w:val="List Table 6 Colorful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93">
    <w:name w:val="List Table 6 Colorful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4">
    <w:name w:val="List Table 6 Colorful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5">
    <w:name w:val="List Table 7 Colorful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6">
    <w:name w:val="List Table 7 Colorful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7">
    <w:name w:val="List Table 7 Colorful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8">
    <w:name w:val="List Table 7 Colorful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9">
    <w:name w:val="List Table 7 Colorful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0">
    <w:name w:val="List Table 7 Colorful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1">
    <w:name w:val="List Table 7 Colorful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2">
    <w:name w:val="Lined - Accent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3">
    <w:name w:val="Lined - Accent 1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4">
    <w:name w:val="Lined - Accent 2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5">
    <w:name w:val="Lined - Accent 3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6">
    <w:name w:val="Lined - Accent 4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7">
    <w:name w:val="Lined - Accent 5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8">
    <w:name w:val="Lined - Accent 6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9">
    <w:name w:val="Bordered &amp; Lined - Accent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0">
    <w:name w:val="Bordered &amp; Lined - Accent 1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11">
    <w:name w:val="Bordered &amp; Lined - Accent 2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12">
    <w:name w:val="Bordered &amp; Lined - Accent 3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3">
    <w:name w:val="Bordered &amp; Lined - Accent 4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4">
    <w:name w:val="Bordered &amp; Lined - Accent 5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5">
    <w:name w:val="Bordered &amp; Lined - Accent 6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6">
    <w:name w:val="Bordered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7">
    <w:name w:val="Bordered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8">
    <w:name w:val="Bordered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9">
    <w:name w:val="Bordered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20">
    <w:name w:val="Bordered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21">
    <w:name w:val="Bordered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22">
    <w:name w:val="Bordered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23">
    <w:name w:val="Hyperlink"/>
    <w:uiPriority w:val="99"/>
    <w:unhideWhenUsed/>
    <w:rPr>
      <w:color w:val="0000FF" w:themeColor="hyperlink"/>
      <w:u w:val="single"/>
    </w:rPr>
  </w:style>
  <w:style w:type="paragraph" w:styleId="824">
    <w:name w:val="footnote text"/>
    <w:basedOn w:val="841"/>
    <w:link w:val="825"/>
    <w:uiPriority w:val="99"/>
    <w:semiHidden/>
    <w:unhideWhenUsed/>
    <w:rPr>
      <w:sz w:val="18"/>
    </w:rPr>
    <w:pPr>
      <w:spacing w:lineRule="auto" w:line="240" w:after="40"/>
    </w:pPr>
  </w:style>
  <w:style w:type="character" w:styleId="825">
    <w:name w:val="Footnote Text Char"/>
    <w:link w:val="824"/>
    <w:uiPriority w:val="99"/>
    <w:rPr>
      <w:sz w:val="18"/>
    </w:rPr>
  </w:style>
  <w:style w:type="character" w:styleId="826">
    <w:name w:val="footnote reference"/>
    <w:basedOn w:val="843"/>
    <w:uiPriority w:val="99"/>
    <w:unhideWhenUsed/>
    <w:rPr>
      <w:vertAlign w:val="superscript"/>
    </w:rPr>
  </w:style>
  <w:style w:type="paragraph" w:styleId="827">
    <w:name w:val="endnote text"/>
    <w:basedOn w:val="841"/>
    <w:link w:val="828"/>
    <w:uiPriority w:val="99"/>
    <w:semiHidden/>
    <w:unhideWhenUsed/>
    <w:rPr>
      <w:sz w:val="20"/>
    </w:rPr>
    <w:pPr>
      <w:spacing w:lineRule="auto" w:line="240" w:after="0"/>
    </w:pPr>
  </w:style>
  <w:style w:type="character" w:styleId="828">
    <w:name w:val="Endnote Text Char"/>
    <w:link w:val="827"/>
    <w:uiPriority w:val="99"/>
    <w:rPr>
      <w:sz w:val="20"/>
    </w:rPr>
  </w:style>
  <w:style w:type="character" w:styleId="829">
    <w:name w:val="endnote reference"/>
    <w:basedOn w:val="843"/>
    <w:uiPriority w:val="99"/>
    <w:semiHidden/>
    <w:unhideWhenUsed/>
    <w:rPr>
      <w:vertAlign w:val="superscript"/>
    </w:rPr>
  </w:style>
  <w:style w:type="paragraph" w:styleId="830">
    <w:name w:val="toc 1"/>
    <w:basedOn w:val="841"/>
    <w:next w:val="841"/>
    <w:uiPriority w:val="39"/>
    <w:unhideWhenUsed/>
    <w:pPr>
      <w:ind w:left="0" w:right="0" w:firstLine="0"/>
      <w:spacing w:after="57"/>
    </w:pPr>
  </w:style>
  <w:style w:type="paragraph" w:styleId="831">
    <w:name w:val="toc 2"/>
    <w:basedOn w:val="841"/>
    <w:next w:val="841"/>
    <w:uiPriority w:val="39"/>
    <w:unhideWhenUsed/>
    <w:pPr>
      <w:ind w:left="283" w:right="0" w:firstLine="0"/>
      <w:spacing w:after="57"/>
    </w:pPr>
  </w:style>
  <w:style w:type="paragraph" w:styleId="832">
    <w:name w:val="toc 3"/>
    <w:basedOn w:val="841"/>
    <w:next w:val="841"/>
    <w:uiPriority w:val="39"/>
    <w:unhideWhenUsed/>
    <w:pPr>
      <w:ind w:left="567" w:right="0" w:firstLine="0"/>
      <w:spacing w:after="57"/>
    </w:pPr>
  </w:style>
  <w:style w:type="paragraph" w:styleId="833">
    <w:name w:val="toc 4"/>
    <w:basedOn w:val="841"/>
    <w:next w:val="841"/>
    <w:uiPriority w:val="39"/>
    <w:unhideWhenUsed/>
    <w:pPr>
      <w:ind w:left="850" w:right="0" w:firstLine="0"/>
      <w:spacing w:after="57"/>
    </w:pPr>
  </w:style>
  <w:style w:type="paragraph" w:styleId="834">
    <w:name w:val="toc 5"/>
    <w:basedOn w:val="841"/>
    <w:next w:val="841"/>
    <w:uiPriority w:val="39"/>
    <w:unhideWhenUsed/>
    <w:pPr>
      <w:ind w:left="1134" w:right="0" w:firstLine="0"/>
      <w:spacing w:after="57"/>
    </w:pPr>
  </w:style>
  <w:style w:type="paragraph" w:styleId="835">
    <w:name w:val="toc 6"/>
    <w:basedOn w:val="841"/>
    <w:next w:val="841"/>
    <w:uiPriority w:val="39"/>
    <w:unhideWhenUsed/>
    <w:pPr>
      <w:ind w:left="1417" w:right="0" w:firstLine="0"/>
      <w:spacing w:after="57"/>
    </w:pPr>
  </w:style>
  <w:style w:type="paragraph" w:styleId="836">
    <w:name w:val="toc 7"/>
    <w:basedOn w:val="841"/>
    <w:next w:val="841"/>
    <w:uiPriority w:val="39"/>
    <w:unhideWhenUsed/>
    <w:pPr>
      <w:ind w:left="1701" w:right="0" w:firstLine="0"/>
      <w:spacing w:after="57"/>
    </w:pPr>
  </w:style>
  <w:style w:type="paragraph" w:styleId="837">
    <w:name w:val="toc 8"/>
    <w:basedOn w:val="841"/>
    <w:next w:val="841"/>
    <w:uiPriority w:val="39"/>
    <w:unhideWhenUsed/>
    <w:pPr>
      <w:ind w:left="1984" w:right="0" w:firstLine="0"/>
      <w:spacing w:after="57"/>
    </w:pPr>
  </w:style>
  <w:style w:type="paragraph" w:styleId="838">
    <w:name w:val="toc 9"/>
    <w:basedOn w:val="841"/>
    <w:next w:val="841"/>
    <w:uiPriority w:val="39"/>
    <w:unhideWhenUsed/>
    <w:pPr>
      <w:ind w:left="2268" w:right="0" w:firstLine="0"/>
      <w:spacing w:after="57"/>
    </w:pPr>
  </w:style>
  <w:style w:type="paragraph" w:styleId="839">
    <w:name w:val="TOC Heading"/>
    <w:uiPriority w:val="39"/>
    <w:unhideWhenUsed/>
  </w:style>
  <w:style w:type="paragraph" w:styleId="840">
    <w:name w:val="table of figures"/>
    <w:basedOn w:val="841"/>
    <w:next w:val="841"/>
    <w:uiPriority w:val="99"/>
    <w:unhideWhenUsed/>
    <w:pPr>
      <w:spacing w:after="0" w:afterAutospacing="0"/>
    </w:pPr>
  </w:style>
  <w:style w:type="paragraph" w:styleId="841" w:default="1">
    <w:name w:val="Normal"/>
    <w:qFormat/>
  </w:style>
  <w:style w:type="paragraph" w:styleId="842">
    <w:name w:val="Heading 3"/>
    <w:basedOn w:val="841"/>
    <w:link w:val="847"/>
    <w:qFormat/>
    <w:uiPriority w:val="99"/>
    <w:semiHidden/>
    <w:unhideWhenUsed/>
    <w:rPr>
      <w:rFonts w:ascii="Times New Roman" w:hAnsi="Times New Roman" w:cs="Times New Roman" w:eastAsia="Times New Roman"/>
      <w:b/>
      <w:bCs/>
      <w:sz w:val="27"/>
      <w:szCs w:val="27"/>
      <w:lang w:eastAsia="ru-RU"/>
    </w:rPr>
    <w:pPr>
      <w:spacing w:lineRule="auto" w:line="240" w:after="100" w:afterAutospacing="1" w:before="100" w:beforeAutospacing="1"/>
      <w:outlineLvl w:val="2"/>
    </w:pPr>
  </w:style>
  <w:style w:type="character" w:styleId="843" w:default="1">
    <w:name w:val="Default Paragraph Font"/>
    <w:uiPriority w:val="1"/>
    <w:semiHidden/>
    <w:unhideWhenUsed/>
  </w:style>
  <w:style w:type="table" w:styleId="84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5" w:default="1">
    <w:name w:val="No List"/>
    <w:uiPriority w:val="99"/>
    <w:semiHidden/>
    <w:unhideWhenUsed/>
  </w:style>
  <w:style w:type="paragraph" w:styleId="846">
    <w:name w:val="List Paragraph"/>
    <w:basedOn w:val="841"/>
    <w:qFormat/>
    <w:uiPriority w:val="34"/>
    <w:pPr>
      <w:contextualSpacing w:val="true"/>
      <w:ind w:left="720"/>
    </w:pPr>
  </w:style>
  <w:style w:type="character" w:styleId="847" w:customStyle="1">
    <w:name w:val="Заголовок 3 Знак"/>
    <w:basedOn w:val="843"/>
    <w:link w:val="842"/>
    <w:uiPriority w:val="99"/>
    <w:semiHidden/>
    <w:rPr>
      <w:rFonts w:ascii="Times New Roman" w:hAnsi="Times New Roman" w:cs="Times New Roman" w:eastAsia="Times New Roman"/>
      <w:b/>
      <w:bCs/>
      <w:sz w:val="27"/>
      <w:szCs w:val="27"/>
      <w:lang w:eastAsia="ru-RU"/>
    </w:rPr>
  </w:style>
  <w:style w:type="paragraph" w:styleId="848">
    <w:name w:val="Normal (Web)"/>
    <w:basedOn w:val="841"/>
    <w:uiPriority w:val="99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49">
    <w:name w:val="Header"/>
    <w:basedOn w:val="841"/>
    <w:link w:val="850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50" w:customStyle="1">
    <w:name w:val="Верхний колонтитул Знак"/>
    <w:basedOn w:val="843"/>
    <w:link w:val="849"/>
    <w:uiPriority w:val="99"/>
  </w:style>
  <w:style w:type="paragraph" w:styleId="851">
    <w:name w:val="Footer"/>
    <w:basedOn w:val="841"/>
    <w:link w:val="852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52" w:customStyle="1">
    <w:name w:val="Нижний колонтитул Знак"/>
    <w:basedOn w:val="843"/>
    <w:link w:val="851"/>
    <w:uiPriority w:val="99"/>
  </w:style>
  <w:style w:type="table" w:styleId="853">
    <w:name w:val="Table Grid"/>
    <w:basedOn w:val="84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СТАЛЬНИЧЕНКО Юрій Валерійович</cp:lastModifiedBy>
  <cp:revision>20</cp:revision>
  <dcterms:created xsi:type="dcterms:W3CDTF">2021-11-09T08:01:00Z</dcterms:created>
  <dcterms:modified xsi:type="dcterms:W3CDTF">2022-04-22T13:20:31Z</dcterms:modified>
</cp:coreProperties>
</file>