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bidi="uk-UA" w:eastAsia="uk-UA"/>
        </w:rPr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  <w:lang w:bidi="uk-UA"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  <w:lang w:bidi="uk-UA" w:eastAsia="uk-UA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  <w:lang w:bidi="uk-UA"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uk-UA" w:eastAsia="uk-UA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08 квітня 2022 року                 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59</w:t>
      </w:r>
      <w:bookmarkStart w:id="0" w:name="_GoBack"/>
      <w:r/>
      <w:bookmarkEnd w:id="0"/>
      <w:r/>
      <w:r/>
    </w:p>
    <w:p>
      <w:pPr>
        <w:contextualSpacing w:val="true"/>
        <w:ind w:right="5670"/>
        <w:jc w:val="both"/>
        <w:spacing w:lineRule="auto" w:line="240" w:after="0"/>
        <w:widowControl w:val="off"/>
        <w:rPr>
          <w:rFonts w:ascii="Times New Roman" w:hAnsi="Times New Roman" w:cs="Times New Roman" w:eastAsia="Arial Unicode MS"/>
          <w:b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Arial Unicode MS"/>
          <w:b/>
          <w:color w:val="000000"/>
          <w:sz w:val="28"/>
          <w:szCs w:val="28"/>
          <w:lang w:bidi="uk-UA" w:eastAsia="uk-UA"/>
        </w:rPr>
      </w:r>
      <w:r/>
    </w:p>
    <w:p>
      <w:pPr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/>
          <w:color w:val="000000"/>
          <w:sz w:val="28"/>
          <w:szCs w:val="28"/>
          <w:lang w:bidi="uk-UA" w:eastAsia="ru-RU"/>
        </w:rPr>
      </w:pPr>
      <w:r>
        <w:rPr>
          <w:rFonts w:ascii="Times New Roman" w:hAnsi="Times New Roman" w:cs="Arial Unicode MS" w:eastAsia="Times New Roman"/>
          <w:b/>
          <w:color w:val="000000"/>
          <w:sz w:val="28"/>
          <w:szCs w:val="28"/>
          <w:lang w:bidi="uk-UA" w:eastAsia="ru-RU"/>
        </w:rPr>
        <w:t xml:space="preserve">Про </w:t>
      </w:r>
      <w:r>
        <w:rPr>
          <w:rFonts w:ascii="Times New Roman" w:hAnsi="Times New Roman" w:cs="Arial Unicode MS" w:eastAsia="Times New Roman"/>
          <w:b/>
          <w:color w:val="000000"/>
          <w:sz w:val="28"/>
          <w:szCs w:val="28"/>
          <w:lang w:bidi="uk-UA" w:eastAsia="ru-RU"/>
        </w:rPr>
        <w:t xml:space="preserve">створення продовольчого</w:t>
      </w:r>
      <w:r/>
    </w:p>
    <w:p>
      <w:pPr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/>
          <w:color w:val="000000"/>
          <w:sz w:val="28"/>
          <w:szCs w:val="28"/>
          <w:lang w:bidi="uk-UA" w:eastAsia="ru-RU"/>
        </w:rPr>
      </w:pPr>
      <w:r>
        <w:rPr>
          <w:rFonts w:ascii="Times New Roman" w:hAnsi="Times New Roman" w:cs="Arial Unicode MS" w:eastAsia="Times New Roman"/>
          <w:b/>
          <w:color w:val="000000"/>
          <w:sz w:val="28"/>
          <w:szCs w:val="28"/>
          <w:lang w:bidi="uk-UA" w:eastAsia="ru-RU"/>
        </w:rPr>
        <w:t xml:space="preserve">резерву </w:t>
      </w:r>
      <w:r>
        <w:rPr>
          <w:rFonts w:ascii="Times New Roman" w:hAnsi="Times New Roman" w:cs="Arial Unicode MS" w:eastAsia="Times New Roman"/>
          <w:b/>
          <w:color w:val="000000"/>
          <w:sz w:val="28"/>
          <w:szCs w:val="28"/>
          <w:lang w:bidi="uk-UA" w:eastAsia="ru-RU"/>
        </w:rPr>
        <w:t xml:space="preserve">в  період воєнного стану</w:t>
      </w:r>
      <w:r/>
    </w:p>
    <w:p>
      <w:pPr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Arial Unicode MS"/>
          <w:b/>
          <w:color w:val="000000"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Arial Unicode MS"/>
          <w:b/>
          <w:color w:val="000000"/>
          <w:sz w:val="28"/>
          <w:szCs w:val="24"/>
          <w:lang w:bidi="uk-UA"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В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раховуючи норми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  Закону України «Про правовий режим воєнного стану», в зв’язку з введенням на території країни воєнного стану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з метою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соціальної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підтримкою всіх верств населення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– жителів Менської територіальної громади та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забезпечення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їх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життєво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важливими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та соціально значущими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продуктами харчування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,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керуючись Законом України «Про місцеве самоврядування в Україні», Постановою Кабінету Міністрів України № 252 від 11.03.2022 р. «Деякі питання формування та виконання місцевих бюджетів у період воєнного стану»,</w:t>
      </w:r>
      <w:r>
        <w:rPr>
          <w:rFonts w:ascii="Arial Unicode MS" w:hAnsi="Arial Unicode MS" w:cs="Arial Unicode MS" w:eastAsia="Arial Unicode MS"/>
          <w:color w:val="000000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виконавчий комітет Менської міської ради</w:t>
      </w:r>
      <w:r/>
    </w:p>
    <w:p>
      <w:pPr>
        <w:contextualSpacing w:val="true"/>
        <w:jc w:val="both"/>
        <w:spacing w:lineRule="exact" w:line="280" w:after="244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  <w:t xml:space="preserve">ВИРІШИВ:</w:t>
      </w:r>
      <w:r/>
    </w:p>
    <w:p>
      <w:pPr>
        <w:numPr>
          <w:ilvl w:val="0"/>
          <w:numId w:val="1"/>
        </w:numPr>
        <w:contextualSpacing w:val="true"/>
        <w:ind w:firstLine="567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Arial Unicode MS" w:eastAsia="Arial Unicode MS"/>
          <w:color w:val="000000"/>
          <w:sz w:val="28"/>
          <w:szCs w:val="28"/>
          <w:lang w:bidi="uk-UA" w:eastAsia="uk-UA"/>
        </w:rPr>
        <w:t xml:space="preserve">Внести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bidi="uk-UA" w:eastAsia="uk-UA"/>
        </w:rPr>
        <w:t xml:space="preserve"> наступні зміни до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Програми соціальної підтримки жителів Менської міської територіальної громади на 2022-2024 роки, затвердженої  рішенням  сесії Менської міської ради від 09.12.2021 № 813, а саме:</w:t>
      </w:r>
      <w:r/>
    </w:p>
    <w:p>
      <w:pPr>
        <w:contextualSpacing w:val="true"/>
        <w:jc w:val="both"/>
        <w:keepNext/>
        <w:spacing w:lineRule="auto" w:line="240" w:after="0"/>
        <w:widowControl w:val="off"/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outlineLvl w:val="1"/>
      </w:pP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- 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У пункті 9 паспорту даної Програми 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(додаток 1 до рішення)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змінити загальний обсяг фінансових ресурсів, необхідних для реалізації програми:  всього з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445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0,00 тис. грн. на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5150,00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 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тис. грн., відповідно: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 2022 рік з 1460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,00 грн. на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2160,00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 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грн., </w:t>
      </w:r>
      <w:r/>
    </w:p>
    <w:p>
      <w:pPr>
        <w:contextualSpacing w:val="true"/>
        <w:jc w:val="both"/>
        <w:keepNext/>
        <w:spacing w:lineRule="auto" w:line="240" w:after="0"/>
        <w:widowControl w:val="off"/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uk-UA"/>
        </w:rPr>
        <w:outlineLvl w:val="1"/>
      </w:pP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- Розділ 5 доповнити після абзацу 2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слідуючими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 словами: «</w:t>
      </w:r>
      <w:r>
        <w:rPr>
          <w:rFonts w:ascii="Times New Roman" w:hAnsi="Times New Roman" w:cs="Arial Unicode MS" w:eastAsia="Times New Roman"/>
          <w:bCs/>
          <w:color w:val="000000"/>
          <w:sz w:val="28"/>
          <w:szCs w:val="28"/>
          <w:lang w:bidi="uk-UA" w:eastAsia="ru-RU"/>
        </w:rPr>
        <w:t xml:space="preserve">- соціальна підтримка</w:t>
      </w:r>
      <w:r>
        <w:rPr>
          <w:rFonts w:ascii="Times New Roman" w:hAnsi="Times New Roman" w:cs="Arial Unicode MS" w:eastAsia="Times New Roman"/>
          <w:bCs/>
          <w:color w:val="000000"/>
          <w:sz w:val="28"/>
          <w:szCs w:val="28"/>
          <w:lang w:bidi="uk-UA" w:eastAsia="ru-RU"/>
        </w:rPr>
        <w:t xml:space="preserve"> всіх верств населення – жителів Менської територіальної громади та забезпечення їх </w:t>
      </w:r>
      <w:r>
        <w:rPr>
          <w:rFonts w:ascii="Times New Roman" w:hAnsi="Times New Roman" w:cs="Arial Unicode MS" w:eastAsia="Times New Roman"/>
          <w:bCs/>
          <w:color w:val="000000"/>
          <w:sz w:val="28"/>
          <w:szCs w:val="28"/>
          <w:lang w:bidi="uk-UA" w:eastAsia="ru-RU"/>
        </w:rPr>
        <w:t xml:space="preserve">життєво</w:t>
      </w:r>
      <w:r>
        <w:rPr>
          <w:rFonts w:ascii="Times New Roman" w:hAnsi="Times New Roman" w:cs="Arial Unicode MS" w:eastAsia="Times New Roman"/>
          <w:bCs/>
          <w:color w:val="000000"/>
          <w:sz w:val="28"/>
          <w:szCs w:val="28"/>
          <w:lang w:bidi="uk-UA" w:eastAsia="ru-RU"/>
        </w:rPr>
        <w:t xml:space="preserve"> важливими і соціально значущими продуктами харчування в період воєнного стану</w:t>
      </w:r>
      <w:r>
        <w:rPr>
          <w:rFonts w:ascii="Times New Roman" w:hAnsi="Times New Roman" w:cs="Arial Unicode MS" w:eastAsia="Times New Roman"/>
          <w:bCs/>
          <w:color w:val="000000"/>
          <w:sz w:val="28"/>
          <w:szCs w:val="28"/>
          <w:lang w:bidi="uk-UA" w:eastAsia="ru-RU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-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Розділ 7 </w:t>
      </w:r>
      <w:r>
        <w:rPr>
          <w:rFonts w:ascii="Times New Roman" w:hAnsi="Times New Roman" w:cs="Arial Unicode MS" w:eastAsia="Times New Roman"/>
          <w:sz w:val="28"/>
          <w:szCs w:val="24"/>
          <w:lang w:bidi="uk-UA" w:eastAsia="uk-UA"/>
        </w:rPr>
        <w:t xml:space="preserve">«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Заходи та фінансове забезпечення Програми</w:t>
      </w:r>
      <w:r>
        <w:rPr>
          <w:rFonts w:ascii="Times New Roman" w:hAnsi="Times New Roman" w:cs="Arial Unicode MS" w:eastAsia="Times New Roman"/>
          <w:sz w:val="28"/>
          <w:szCs w:val="24"/>
          <w:lang w:bidi="uk-UA" w:eastAsia="uk-UA"/>
        </w:rPr>
        <w:t xml:space="preserve">»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Програми соціальної підтримки жителів Менської міської територіальної громади на 2022 – 2024 роки (додаток 1 до рішення) доповнити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пп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.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10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  наступного змісту:</w:t>
      </w:r>
      <w:r/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</w:r>
      <w:r/>
    </w:p>
    <w:tbl>
      <w:tblPr>
        <w:tblStyle w:val="610"/>
        <w:tblW w:w="9701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28"/>
        <w:gridCol w:w="4773"/>
        <w:gridCol w:w="1120"/>
        <w:gridCol w:w="1120"/>
        <w:gridCol w:w="1120"/>
        <w:gridCol w:w="1040"/>
      </w:tblGrid>
      <w:tr>
        <w:trPr>
          <w:tblCellSpacing w:w="0" w:type="dxa"/>
          <w:trHeight w:val="8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vMerge w:val="restart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3" w:type="dxa"/>
            <w:vAlign w:val="center"/>
            <w:vMerge w:val="restart"/>
            <w:textDirection w:val="lrTb"/>
            <w:noWrap/>
          </w:tcPr>
          <w:p>
            <w:pPr>
              <w:jc w:val="center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Заходи та розмір грошової допомоги на одну особу/сім’ю на рік (грн.)</w:t>
            </w:r>
            <w:r/>
          </w:p>
        </w:tc>
        <w:tc>
          <w:tcPr>
            <w:gridSpan w:val="4"/>
            <w:shd w:val="clear" w:fill="auto" w:color="auto"/>
            <w:tcBorders>
              <w:top w:val="single" w:sz="4" w:space="0" w:color="auto"/>
              <w:right w:val="single" w:sz="4" w:space="0" w:color="auto"/>
            </w:tcBorders>
            <w:tcW w:w="44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Орієнтовна сума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</w:t>
            </w:r>
            <w:r/>
          </w:p>
        </w:tc>
      </w:tr>
      <w:tr>
        <w:trPr>
          <w:tblCellSpacing w:w="0" w:type="dxa"/>
          <w:trHeight w:val="14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874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всього</w:t>
            </w:r>
            <w:r/>
          </w:p>
        </w:tc>
      </w:tr>
      <w:tr>
        <w:trPr>
          <w:tblCellSpacing w:w="0" w:type="dxa"/>
          <w:trHeight w:val="1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3" w:type="dxa"/>
            <w:vAlign w:val="center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творення продовольчого резерву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територіальної громади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</w:t>
            </w:r>
            <w:bookmarkStart w:id="1" w:name="_Hlk10110382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соціальної підтримки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всіх верств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населення – жителів Менської територіальної громади та забезпечення їх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життєво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важливими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і соціально значущими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продуктами харчування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період воєнного стану</w:t>
            </w:r>
            <w:bookmarkEnd w:id="1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з можливою передачею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продовольчих товарів продовольчого резерву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іншим громадам для відвернення гуманітарної катастрофи, що виникла в результаті бойових дій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закладам, підприємствам,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установам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700,00</w:t>
            </w:r>
            <w:r/>
          </w:p>
        </w:tc>
      </w:tr>
    </w:tbl>
    <w:p>
      <w:pPr>
        <w:ind w:left="567"/>
        <w:jc w:val="both"/>
        <w:spacing w:lineRule="auto" w:line="240" w:after="0"/>
        <w:widowControl w:val="off"/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</w:r>
      <w:r/>
    </w:p>
    <w:p>
      <w:pPr>
        <w:numPr>
          <w:ilvl w:val="0"/>
          <w:numId w:val="1"/>
        </w:numPr>
        <w:contextualSpacing w:val="true"/>
        <w:ind w:firstLine="567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Внести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 зміни до  </w:t>
      </w: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Порядку реалізації Програми соціальної підтримки жителів Менської міської територіальної громади на 2022 – 2024 роки (додаток 2 до рішення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 сесії Менської міської ради від 09.12.2021 № 813</w:t>
      </w: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) </w:t>
      </w:r>
      <w:r>
        <w:rPr>
          <w:rFonts w:ascii="Times New Roman" w:hAnsi="Times New Roman" w:cs="Arial Unicode MS" w:eastAsia="Times New Roman"/>
          <w:color w:val="000000"/>
          <w:sz w:val="28"/>
          <w:szCs w:val="28"/>
          <w:lang w:bidi="uk-UA" w:eastAsia="ru-RU"/>
        </w:rPr>
        <w:t xml:space="preserve">розділ </w:t>
      </w: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2. </w:t>
      </w:r>
      <w:r>
        <w:rPr>
          <w:rFonts w:ascii="Times New Roman" w:hAnsi="Times New Roman" w:cs="Arial Unicode MS" w:eastAsia="Times New Roman"/>
          <w:sz w:val="28"/>
          <w:szCs w:val="24"/>
          <w:lang w:bidi="uk-UA" w:eastAsia="uk-UA"/>
        </w:rPr>
        <w:t xml:space="preserve">«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Надання грошової допомоги учасникам АТО/ООС та членам сімей загиблих/померлих учасників АТО/ООС</w:t>
      </w:r>
      <w:r>
        <w:rPr>
          <w:rFonts w:ascii="Times New Roman" w:hAnsi="Times New Roman" w:cs="Arial Unicode MS" w:eastAsia="Times New Roman"/>
          <w:sz w:val="28"/>
          <w:szCs w:val="24"/>
          <w:lang w:val="ru-RU" w:bidi="uk-UA" w:eastAsia="uk-UA"/>
        </w:rPr>
        <w:t xml:space="preserve">» </w:t>
      </w:r>
      <w:r>
        <w:rPr>
          <w:rFonts w:ascii="Times New Roman" w:hAnsi="Times New Roman" w:cs="Arial Unicode MS" w:eastAsia="Times New Roman"/>
          <w:sz w:val="28"/>
          <w:szCs w:val="24"/>
          <w:lang w:val="ru-RU" w:bidi="uk-UA" w:eastAsia="uk-UA"/>
        </w:rPr>
        <w:t xml:space="preserve">доповнити</w:t>
      </w:r>
      <w:r>
        <w:rPr>
          <w:rFonts w:ascii="Times New Roman" w:hAnsi="Times New Roman" w:cs="Arial Unicode MS" w:eastAsia="Times New Roman"/>
          <w:sz w:val="28"/>
          <w:szCs w:val="24"/>
          <w:lang w:val="ru-RU" w:bidi="uk-UA" w:eastAsia="uk-UA"/>
        </w:rPr>
        <w:t xml:space="preserve"> абзацами </w:t>
      </w:r>
      <w:r>
        <w:rPr>
          <w:rFonts w:ascii="Times New Roman" w:hAnsi="Times New Roman" w:cs="Arial Unicode MS" w:eastAsia="Times New Roman"/>
          <w:sz w:val="28"/>
          <w:szCs w:val="24"/>
          <w:lang w:val="ru-RU" w:bidi="uk-UA" w:eastAsia="uk-UA"/>
        </w:rPr>
        <w:t xml:space="preserve">наступного</w:t>
      </w:r>
      <w:r>
        <w:rPr>
          <w:rFonts w:ascii="Times New Roman" w:hAnsi="Times New Roman" w:cs="Arial Unicode MS" w:eastAsia="Times New Roman"/>
          <w:sz w:val="28"/>
          <w:szCs w:val="24"/>
          <w:lang w:val="ru-RU" w:bidi="uk-UA" w:eastAsia="uk-UA"/>
        </w:rPr>
        <w:t xml:space="preserve"> </w:t>
      </w:r>
      <w:r>
        <w:rPr>
          <w:rFonts w:ascii="Times New Roman" w:hAnsi="Times New Roman" w:cs="Arial Unicode MS" w:eastAsia="Times New Roman"/>
          <w:sz w:val="28"/>
          <w:szCs w:val="24"/>
          <w:lang w:val="ru-RU" w:bidi="uk-UA" w:eastAsia="uk-UA"/>
        </w:rPr>
        <w:t xml:space="preserve">змісту</w:t>
      </w:r>
      <w:r>
        <w:rPr>
          <w:rFonts w:ascii="Times New Roman" w:hAnsi="Times New Roman" w:cs="Arial Unicode MS" w:eastAsia="Times New Roman"/>
          <w:sz w:val="28"/>
          <w:szCs w:val="24"/>
          <w:lang w:val="ru-RU" w:bidi="uk-UA" w:eastAsia="uk-UA"/>
        </w:rPr>
        <w:t xml:space="preserve">: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sz w:val="28"/>
          <w:szCs w:val="24"/>
          <w:lang w:bidi="uk-UA" w:eastAsia="uk-UA"/>
        </w:rPr>
        <w:t xml:space="preserve">        </w:t>
      </w:r>
      <w:r>
        <w:rPr>
          <w:rFonts w:ascii="Times New Roman" w:hAnsi="Times New Roman" w:cs="Arial Unicode MS" w:eastAsia="Times New Roman"/>
          <w:b/>
          <w:sz w:val="28"/>
          <w:szCs w:val="24"/>
          <w:lang w:bidi="uk-UA" w:eastAsia="uk-UA"/>
        </w:rPr>
        <w:t xml:space="preserve">10.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 Unicode MS" w:eastAsia="Times New Roman"/>
          <w:b/>
          <w:bCs/>
          <w:sz w:val="28"/>
          <w:szCs w:val="24"/>
          <w:lang w:bidi="uk-UA" w:eastAsia="uk-UA"/>
        </w:rPr>
        <w:t xml:space="preserve">С</w:t>
      </w:r>
      <w:r>
        <w:rPr>
          <w:rFonts w:ascii="Times New Roman" w:hAnsi="Times New Roman" w:cs="Arial Unicode MS" w:eastAsia="Times New Roman"/>
          <w:b/>
          <w:bCs/>
          <w:sz w:val="28"/>
          <w:szCs w:val="24"/>
          <w:lang w:bidi="uk-UA" w:eastAsia="uk-UA"/>
        </w:rPr>
        <w:t xml:space="preserve">творення продовольчого резерву та </w:t>
      </w:r>
      <w:r>
        <w:rPr>
          <w:rFonts w:ascii="Times New Roman" w:hAnsi="Times New Roman" w:cs="Arial Unicode MS" w:eastAsia="Times New Roman"/>
          <w:b/>
          <w:bCs/>
          <w:sz w:val="28"/>
          <w:szCs w:val="24"/>
          <w:lang w:bidi="uk-UA" w:eastAsia="uk-UA"/>
        </w:rPr>
        <w:t xml:space="preserve">порядок</w:t>
      </w:r>
      <w:r>
        <w:rPr>
          <w:rFonts w:ascii="Times New Roman" w:hAnsi="Times New Roman" w:cs="Arial Unicode MS" w:eastAsia="Times New Roman"/>
          <w:b/>
          <w:bCs/>
          <w:sz w:val="28"/>
          <w:szCs w:val="24"/>
          <w:lang w:bidi="uk-UA" w:eastAsia="uk-UA"/>
        </w:rPr>
        <w:t xml:space="preserve"> надання соціальної підтримки жителям громади.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      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З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метою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соціальної підтримки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всіх верств населення – жителів Менської територіальної громади та забезпечення їх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життєво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важливими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і соціально значущими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продуктами харчування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в період воєнного стану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,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в Менській міській громаді створюється продовольчий резерв.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Продовольчий резерв формується за рахунок продовольчих товарів, закупівля яких проводиться Менською міською радою та переданих безкоштовно суб’єктами господарювання Менській міській раді в установленому порядку. 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     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Використання продовольчих товарів з продовольчого резерву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територіальної громади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здійснюється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шляхом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: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-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безкоштовної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передачі жителям громади відповідно до порядку надання гуманітарної допомоги  в Менській міській територіальній громаді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в період дії воєнного стану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;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-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безкоштовної</w:t>
      </w:r>
      <w:r>
        <w:rPr>
          <w:rFonts w:ascii="Times New Roman" w:hAnsi="Times New Roman" w:cs="Arial Unicode MS" w:eastAsia="Times New Roman"/>
          <w:bCs/>
          <w:color w:val="FF0000"/>
          <w:sz w:val="28"/>
          <w:szCs w:val="24"/>
          <w:lang w:bidi="uk-UA" w:eastAsia="uk-UA"/>
        </w:rPr>
        <w:t xml:space="preserve">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передачі суб’єктам господарювання для виготовлення (випікання) хліба з подальшою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безкоштовною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передачею або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реалізацією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цими суб’єктами господарювання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за регульованими цінами (відповідно до розпорядження міського голови)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жителям громади.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     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В разі стабілізації ситуації в громаді із забезпечення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життєво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важливими і соціально значущими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продуктами харчування можлива безоплатна передача продовольчих товарів </w:t>
      </w:r>
      <w:bookmarkStart w:id="2" w:name="_Hlk100852613"/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продовольчого резерву і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ншим територіальним громадам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Чернігівської області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або закладам та установам Менської міської ради.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      Передача продовольчих товарів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продовольчого резерву іншим територіальним громадам Чернігівської області здійснюється безоплатно для відвернення гуманітарної катастрофи, виниклої внаслідок бойових дій. Передача проводиться таким громадам безпосередньо або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Чернігівській обласній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військовій адміністрації за окремим розпорядженням міського голови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,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погодженим з обласною чи районною військовою адміністрацією.</w:t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993" w:leader="none"/>
          <w:tab w:val="left" w:pos="2422" w:leader="none"/>
        </w:tabs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       Передача продовольчих товарів продовольчого резерву закладам, підприємствам та установам Менської міської ради здійснюється безоплатно в установленому порядку для </w:t>
      </w:r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недопущення псування продовольчих товарів (враховуючи строк придатності та можливість створення відповідних умов для зберігання) продовольчого резерву</w:t>
      </w:r>
      <w:bookmarkEnd w:id="2"/>
      <w:r>
        <w:rPr>
          <w:rFonts w:ascii="Times New Roman" w:hAnsi="Times New Roman" w:cs="Arial Unicode MS" w:eastAsia="Times New Roman"/>
          <w:bCs/>
          <w:sz w:val="28"/>
          <w:szCs w:val="24"/>
          <w:lang w:bidi="uk-UA" w:eastAsia="uk-UA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</w:pP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3. Дія даного рішення поширюється на </w:t>
      </w: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період </w:t>
      </w: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з дня введення воєнного стану</w:t>
      </w: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 з 24 лютого 2022 року</w:t>
      </w:r>
      <w:r>
        <w:rPr>
          <w:rFonts w:ascii="Times New Roman" w:hAnsi="Times New Roman" w:cs="Arial Unicode MS" w:eastAsia="Times New Roman"/>
          <w:color w:val="000000"/>
          <w:sz w:val="28"/>
          <w:szCs w:val="24"/>
          <w:lang w:bidi="uk-UA" w:eastAsia="uk-UA"/>
        </w:rPr>
        <w:t xml:space="preserve">.</w:t>
      </w:r>
      <w:r/>
    </w:p>
    <w:p>
      <w:pPr>
        <w:contextualSpacing w:val="true"/>
        <w:ind w:firstLine="567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</w:pPr>
      <w:r>
        <w:rPr>
          <w:rFonts w:ascii="Times New Roman" w:hAnsi="Times New Roman" w:cs="Arial Unicode MS" w:eastAsia="Arial Unicode MS"/>
          <w:color w:val="000000"/>
          <w:sz w:val="28"/>
          <w:szCs w:val="28"/>
          <w:lang w:bidi="uk-UA" w:eastAsia="uk-UA"/>
        </w:rPr>
        <w:t xml:space="preserve">4. 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Фінансовому 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управлінню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 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міської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 ради 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передбачити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 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кошти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 на 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реалізацію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 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програми</w:t>
      </w:r>
      <w:r>
        <w:rPr>
          <w:rFonts w:ascii="Times New Roman" w:hAnsi="Times New Roman" w:cs="Arial Unicode MS" w:eastAsia="Arial Unicode MS"/>
          <w:color w:val="000000"/>
          <w:sz w:val="28"/>
          <w:szCs w:val="28"/>
          <w:lang w:val="ru-RU" w:bidi="uk-UA" w:eastAsia="uk-UA"/>
        </w:rPr>
        <w:t xml:space="preserve">.</w:t>
      </w:r>
      <w:r/>
    </w:p>
    <w:p>
      <w:pPr>
        <w:contextualSpacing w:val="true"/>
        <w:ind w:firstLine="567"/>
        <w:jc w:val="both"/>
        <w:spacing w:lineRule="exact" w:line="280" w:after="270"/>
        <w:widowControl w:val="off"/>
        <w:tabs>
          <w:tab w:val="left" w:pos="106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  <w:t xml:space="preserve">5. Контроль за виконанням рішення покласти на заступника міського голови з питань діяльності виконавчих органів ради  В.В. Прищепу.</w:t>
      </w:r>
      <w:r/>
    </w:p>
    <w:p>
      <w:pPr>
        <w:jc w:val="both"/>
        <w:spacing w:lineRule="exact" w:line="280" w:after="270"/>
        <w:widowControl w:val="off"/>
        <w:tabs>
          <w:tab w:val="left" w:pos="106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Міський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голова 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Геннадій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ПРИМАКОВ</w:t>
      </w:r>
      <w:r/>
    </w:p>
    <w:p>
      <w:pPr>
        <w:jc w:val="both"/>
        <w:spacing w:lineRule="exact" w:line="280" w:after="270"/>
        <w:widowControl w:val="off"/>
        <w:tabs>
          <w:tab w:val="left" w:pos="106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uk-UA" w:eastAsia="uk-UA"/>
        </w:rPr>
      </w:r>
      <w:r/>
    </w:p>
    <w:p>
      <w:r/>
      <w:r/>
    </w:p>
    <w:sectPr>
      <w:footnotePr/>
      <w:endnotePr/>
      <w:type w:val="nextPage"/>
      <w:pgSz w:w="11900" w:h="16840" w:orient="portrait"/>
      <w:pgMar w:top="1134" w:right="701" w:bottom="1134" w:left="1701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table" w:styleId="610">
    <w:name w:val="Table Grid"/>
    <w:basedOn w:val="608"/>
    <w:uiPriority w:val="59"/>
    <w:rPr>
      <w:rFonts w:ascii="Arial Unicode MS" w:hAnsi="Arial Unicode MS" w:cs="Arial Unicode MS" w:eastAsia="Arial Unicode MS"/>
      <w:sz w:val="24"/>
      <w:szCs w:val="24"/>
      <w:lang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11">
    <w:name w:val="List Paragraph"/>
    <w:basedOn w:val="60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22</cp:revision>
  <dcterms:created xsi:type="dcterms:W3CDTF">2022-04-08T09:30:00Z</dcterms:created>
  <dcterms:modified xsi:type="dcterms:W3CDTF">2022-04-29T13:20:11Z</dcterms:modified>
</cp:coreProperties>
</file>