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9"/>
        <w:jc w:val="center"/>
        <w:spacing w:after="0" w:afterAutospacing="0" w:before="0" w:beforeAutospacing="0"/>
      </w:pPr>
      <w:r>
        <w:rPr>
          <w:sz w:val="28"/>
          <w:szCs w:val="28"/>
          <w:lang w:val="uk-UA"/>
        </w:rPr>
        <mc:AlternateContent>
          <mc:Choice Requires="wpg">
            <w:drawing>
              <wp:inline xmlns:wp="http://schemas.openxmlformats.org/drawingml/2006/wordprocessingDrawing" distT="0" distB="0" distL="0" distR="0">
                <wp:extent cx="466725" cy="638175"/>
                <wp:effectExtent l="0" t="0" r="9525" b="9525"/>
                <wp:docPr id="1" name="Рисунок 1" descr="DEB3B2A"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descr="DEB3B2A" hidden="0"/>
                        <pic:cNvPicPr>
                          <a:picLocks noChangeAspect="1"/>
                        </pic:cNvPicPr>
                        <pic:nvPr isPhoto="0" userDrawn="0"/>
                      </pic:nvPicPr>
                      <pic:blipFill>
                        <a:blip r:embed="rId14"/>
                        <a:stretch/>
                      </pic:blipFill>
                      <pic:spPr bwMode="auto">
                        <a:xfrm>
                          <a:off x="0" y="0"/>
                          <a:ext cx="466725" cy="6381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8pt;height:50.2pt;" stroked="f">
                <v:path textboxrect="0,0,0,0"/>
                <v:imagedata r:id="rId14" o:title=""/>
              </v:shape>
            </w:pict>
          </mc:Fallback>
        </mc:AlternateContent>
      </w:r>
      <w:r/>
    </w:p>
    <w:p>
      <w:pPr>
        <w:pStyle w:val="606"/>
        <w:jc w:val="center"/>
        <w:spacing w:after="0" w:afterAutospacing="0" w:before="0" w:beforeAutospacing="0"/>
      </w:pPr>
      <w:r>
        <w:t xml:space="preserve"> </w:t>
      </w:r>
      <w:r/>
    </w:p>
    <w:p>
      <w:pPr>
        <w:pStyle w:val="606"/>
        <w:jc w:val="center"/>
        <w:spacing w:after="0" w:afterAutospacing="0" w:before="0" w:beforeAutospacing="0"/>
      </w:pPr>
      <w:r>
        <w:rPr>
          <w:b/>
          <w:bCs/>
          <w:color w:val="000000"/>
          <w:sz w:val="28"/>
          <w:szCs w:val="28"/>
        </w:rPr>
        <w:t xml:space="preserve">МЕНСЬКА МІСЬКА РАДА</w:t>
      </w:r>
      <w:r/>
    </w:p>
    <w:p>
      <w:pPr>
        <w:pStyle w:val="606"/>
        <w:jc w:val="center"/>
        <w:spacing w:after="0" w:afterAutospacing="0" w:before="0" w:beforeAutospacing="0"/>
        <w:widowControl w:val="off"/>
      </w:pPr>
      <w:r>
        <w:t xml:space="preserve"> </w:t>
      </w:r>
      <w:r/>
    </w:p>
    <w:p>
      <w:pPr>
        <w:pStyle w:val="606"/>
        <w:jc w:val="center"/>
        <w:spacing w:after="0" w:afterAutospacing="0" w:before="0" w:beforeAutospacing="0"/>
        <w:widowControl w:val="off"/>
      </w:pPr>
      <w:r>
        <w:rPr>
          <w:b/>
          <w:bCs/>
          <w:color w:val="000000"/>
          <w:sz w:val="28"/>
          <w:szCs w:val="28"/>
        </w:rPr>
        <w:t xml:space="preserve">РОЗПОРЯДЖЕННЯ </w:t>
      </w:r>
      <w:r/>
    </w:p>
    <w:p>
      <w:pPr>
        <w:pStyle w:val="606"/>
        <w:spacing w:after="0" w:afterAutospacing="0" w:before="0" w:beforeAutospacing="0"/>
        <w:widowControl w:val="off"/>
        <w:tabs>
          <w:tab w:val="left" w:pos="4535" w:leader="none"/>
          <w:tab w:val="left" w:pos="7372" w:leader="none"/>
          <w:tab w:val="left" w:pos="7514" w:leader="none"/>
        </w:tabs>
      </w:pPr>
      <w:r>
        <w:t xml:space="preserve"> </w:t>
      </w:r>
      <w:r/>
    </w:p>
    <w:p>
      <w:pPr>
        <w:pStyle w:val="606"/>
        <w:spacing w:after="0" w:afterAutospacing="0" w:before="0" w:beforeAutospacing="0"/>
        <w:widowControl w:val="off"/>
        <w:tabs>
          <w:tab w:val="left" w:pos="4535" w:leader="none"/>
          <w:tab w:val="left" w:pos="7372" w:leader="none"/>
          <w:tab w:val="left" w:pos="7514" w:leader="none"/>
        </w:tabs>
      </w:pPr>
      <w:r>
        <w:rPr>
          <w:color w:val="000000"/>
          <w:sz w:val="28"/>
          <w:szCs w:val="28"/>
        </w:rPr>
        <w:t xml:space="preserve">23</w:t>
      </w:r>
      <w:r>
        <w:rPr>
          <w:color w:val="000000"/>
          <w:sz w:val="28"/>
          <w:szCs w:val="28"/>
        </w:rPr>
        <w:t xml:space="preserve"> </w:t>
      </w:r>
      <w:r>
        <w:rPr>
          <w:color w:val="000000"/>
          <w:sz w:val="28"/>
          <w:szCs w:val="28"/>
        </w:rPr>
        <w:t xml:space="preserve">лютого</w:t>
      </w:r>
      <w:r>
        <w:rPr>
          <w:color w:val="000000"/>
          <w:sz w:val="28"/>
          <w:szCs w:val="28"/>
        </w:rPr>
        <w:t xml:space="preserve"> 202</w:t>
      </w:r>
      <w:r>
        <w:rPr>
          <w:color w:val="000000"/>
          <w:sz w:val="28"/>
          <w:szCs w:val="28"/>
        </w:rPr>
        <w:t xml:space="preserve">2</w:t>
      </w:r>
      <w:r>
        <w:rPr>
          <w:color w:val="000000"/>
          <w:sz w:val="28"/>
          <w:szCs w:val="28"/>
        </w:rPr>
        <w:t xml:space="preserve"> року</w:t>
      </w:r>
      <w:r>
        <w:rPr>
          <w:color w:val="000000"/>
          <w:sz w:val="28"/>
          <w:szCs w:val="28"/>
        </w:rPr>
        <w:tab/>
        <w:t xml:space="preserve">м. </w:t>
      </w:r>
      <w:r>
        <w:rPr>
          <w:color w:val="000000"/>
          <w:sz w:val="28"/>
          <w:szCs w:val="28"/>
        </w:rPr>
        <w:t xml:space="preserve">Мена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 </w:t>
      </w:r>
      <w:r>
        <w:rPr>
          <w:color w:val="000000"/>
          <w:sz w:val="28"/>
          <w:szCs w:val="28"/>
        </w:rPr>
        <w:t xml:space="preserve">60</w:t>
      </w:r>
      <w:r/>
    </w:p>
    <w:p>
      <w:pPr>
        <w:spacing w:lineRule="auto" w:line="240" w:after="0"/>
        <w:rPr>
          <w:rFonts w:ascii="Times New Roman" w:hAnsi="Times New Roman"/>
          <w:lang w:eastAsia="ru-RU"/>
        </w:rPr>
      </w:pPr>
      <w:r>
        <w:rPr>
          <w:rFonts w:ascii="Times New Roman" w:hAnsi="Times New Roman"/>
          <w:lang w:eastAsia="ru-RU"/>
        </w:rPr>
      </w:r>
      <w:r/>
    </w:p>
    <w:p>
      <w:pPr>
        <w:spacing w:lineRule="auto" w:line="240" w:after="0"/>
        <w:rPr>
          <w:rFonts w:ascii="Times New Roman" w:hAnsi="Times New Roman"/>
          <w:lang w:eastAsia="ru-RU"/>
        </w:rPr>
      </w:pPr>
      <w:r>
        <w:rPr>
          <w:rFonts w:ascii="Times New Roman" w:hAnsi="Times New Roman"/>
          <w:lang w:eastAsia="ru-RU"/>
        </w:rPr>
      </w:r>
      <w:r/>
    </w:p>
    <w:p>
      <w:pPr>
        <w:ind w:right="5386"/>
        <w:jc w:val="both"/>
        <w:spacing w:lineRule="auto" w:line="240" w:after="0"/>
        <w:rPr>
          <w:rFonts w:ascii="Times New Roman" w:hAnsi="Times New Roman" w:eastAsia="Times New Roman"/>
          <w:b/>
          <w:bCs/>
          <w:color w:val="000000"/>
          <w:sz w:val="28"/>
          <w:szCs w:val="28"/>
          <w:shd w:val="clear" w:fill="FFFFFF" w:color="auto"/>
          <w:lang w:eastAsia="uk-UA"/>
        </w:rPr>
      </w:pPr>
      <w:r>
        <w:rPr>
          <w:rFonts w:ascii="Times New Roman" w:hAnsi="Times New Roman" w:eastAsia="Times New Roman"/>
          <w:b/>
          <w:bCs/>
          <w:color w:val="000000"/>
          <w:sz w:val="28"/>
          <w:szCs w:val="28"/>
          <w:shd w:val="clear" w:fill="FFFFFF" w:color="auto"/>
          <w:lang w:eastAsia="uk-UA"/>
        </w:rPr>
        <w:t xml:space="preserve">Про повторне оголошення конкурсу та проведення іспиту на заміщення вакантної посади</w:t>
      </w:r>
      <w:r/>
    </w:p>
    <w:p>
      <w:pPr>
        <w:jc w:val="both"/>
        <w:spacing w:lineRule="auto" w:line="240" w:after="0"/>
        <w:rPr>
          <w:rFonts w:ascii="Times New Roman" w:hAnsi="Times New Roman" w:eastAsia="Times New Roman"/>
          <w:color w:val="000000"/>
          <w:sz w:val="27"/>
          <w:szCs w:val="27"/>
          <w:lang w:eastAsia="uk-UA"/>
        </w:rPr>
      </w:pPr>
      <w:r>
        <w:rPr>
          <w:rFonts w:ascii="Times New Roman" w:hAnsi="Times New Roman" w:eastAsia="Times New Roman"/>
          <w:color w:val="000000"/>
          <w:sz w:val="27"/>
          <w:szCs w:val="27"/>
          <w:lang w:eastAsia="uk-UA"/>
        </w:rPr>
      </w:r>
      <w:r/>
    </w:p>
    <w:p>
      <w:pPr>
        <w:jc w:val="both"/>
        <w:spacing w:lineRule="auto" w:line="240" w:after="0"/>
        <w:rPr>
          <w:rFonts w:ascii="Times New Roman" w:hAnsi="Times New Roman"/>
          <w:sz w:val="28"/>
          <w:szCs w:val="28"/>
        </w:rPr>
      </w:pPr>
      <w:r>
        <w:rPr>
          <w:rFonts w:ascii="Times New Roman" w:hAnsi="Times New Roman" w:eastAsia="Times New Roman"/>
          <w:color w:val="000000"/>
          <w:sz w:val="27"/>
          <w:szCs w:val="27"/>
          <w:shd w:val="clear" w:fill="FFFFFF" w:color="auto"/>
          <w:lang w:eastAsia="uk-UA"/>
        </w:rPr>
        <w:tab/>
      </w:r>
      <w:r>
        <w:rPr>
          <w:rFonts w:ascii="Times New Roman" w:hAnsi="Times New Roman" w:eastAsia="Times New Roman"/>
          <w:color w:val="000000"/>
          <w:sz w:val="28"/>
          <w:szCs w:val="28"/>
          <w:shd w:val="clear" w:fill="FFFFFF" w:color="auto"/>
          <w:lang w:eastAsia="uk-UA"/>
        </w:rPr>
        <w:t xml:space="preserve">Відповідно до рішення дев'ятої сесії Менської міської ради восьмого скликання від 31 серпня 2021 року № 585 «Про затвердження структури та загальної чисельності апарату Менської міської ради та її виконавчих органів», штатного розпису Менської міської ради</w:t>
      </w:r>
      <w:r>
        <w:rPr>
          <w:rFonts w:ascii="Times New Roman" w:hAnsi="Times New Roman"/>
          <w:sz w:val="28"/>
          <w:szCs w:val="28"/>
        </w:rPr>
        <w:t xml:space="preserve">,</w:t>
      </w:r>
      <w:r>
        <w:rPr>
          <w:rFonts w:ascii="Times New Roman" w:hAnsi="Times New Roman" w:eastAsia="Times New Roman"/>
          <w:color w:val="000000"/>
          <w:sz w:val="28"/>
          <w:szCs w:val="28"/>
          <w:shd w:val="clear" w:fill="FFFFFF" w:color="auto"/>
          <w:lang w:eastAsia="uk-UA"/>
        </w:rPr>
        <w:t xml:space="preserve"> статті 10 Закон</w:t>
      </w:r>
      <w:r>
        <w:rPr>
          <w:rFonts w:ascii="Times New Roman" w:hAnsi="Times New Roman" w:eastAsia="Times New Roman"/>
          <w:color w:val="000000"/>
          <w:sz w:val="28"/>
          <w:szCs w:val="28"/>
          <w:shd w:val="clear" w:fill="FFFFFF" w:color="auto"/>
          <w:lang w:eastAsia="uk-UA"/>
        </w:rPr>
        <w:t xml:space="preserve">у України «Про службу в органах місцевого самоврядування», вимог постанови Кабінету Міністрів України від 15 лютого 2002 року № 169 «Про затвердження Порядку проведення конкурсу на заміщення вакантних посад державних службовців» із змінами та доповненнями,</w:t>
      </w:r>
      <w:r>
        <w:rPr>
          <w:rFonts w:ascii="Times New Roman" w:hAnsi="Times New Roman"/>
          <w:color w:val="000000"/>
          <w:sz w:val="28"/>
          <w:szCs w:val="28"/>
          <w:shd w:val="clear" w:fill="FFFFFF" w:color="auto"/>
        </w:rPr>
        <w:t xml:space="preserve"> </w:t>
      </w:r>
      <w:r>
        <w:rPr>
          <w:rFonts w:ascii="Times New Roman" w:hAnsi="Times New Roman"/>
          <w:color w:val="000000"/>
          <w:sz w:val="28"/>
          <w:szCs w:val="28"/>
        </w:rPr>
        <w:t xml:space="preserve">Наказу головного управління державної служби України від 08 липня 2011 року №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sz w:val="28"/>
          <w:szCs w:val="28"/>
        </w:rPr>
        <w:t xml:space="preserve">враховуючи Порядок проведення конкурсу на заміщення вакантних посад посадових осіб місцевого самоврядування в Менській міської раді, затверджений розпорядже</w:t>
      </w:r>
      <w:r>
        <w:rPr>
          <w:rFonts w:ascii="Times New Roman" w:hAnsi="Times New Roman"/>
          <w:sz w:val="28"/>
          <w:szCs w:val="28"/>
        </w:rPr>
        <w:t xml:space="preserve">нням міського голови від 12 січня 2021 року № 15, та Порядок проведення іспиту кандидатів на заміщення вакантних посад посадових осіб місцевого самоврядування в Менській міської раді, затверджений розпорядженням міського голови від 12 січня 2021 року № 16:</w:t>
      </w:r>
      <w:r/>
    </w:p>
    <w:p>
      <w:pPr>
        <w:pStyle w:val="607"/>
        <w:numPr>
          <w:ilvl w:val="0"/>
          <w:numId w:val="1"/>
        </w:numPr>
        <w:ind w:left="0" w:firstLine="709"/>
        <w:jc w:val="both"/>
        <w:rPr>
          <w:rFonts w:ascii="Times New Roman" w:hAnsi="Times New Roman"/>
          <w:sz w:val="28"/>
          <w:szCs w:val="28"/>
          <w:shd w:val="clear" w:fill="FFFFFF" w:color="auto"/>
          <w:lang w:eastAsia="uk-UA"/>
        </w:rPr>
      </w:pPr>
      <w:r>
        <w:rPr>
          <w:rFonts w:ascii="Times New Roman" w:hAnsi="Times New Roman"/>
          <w:sz w:val="28"/>
          <w:szCs w:val="28"/>
          <w:shd w:val="clear" w:fill="FFFFFF" w:color="auto"/>
          <w:lang w:eastAsia="uk-UA"/>
        </w:rPr>
        <w:t xml:space="preserve">Повторно оголосити конкурс на заміщення вакантної посади посадової особи місцевого самоврядування – завідувача сектору оборонної роботи, цивільного захисту населення та роботи з правоохоронними органами </w:t>
      </w:r>
      <w:r>
        <w:rPr>
          <w:rFonts w:ascii="Times New Roman" w:hAnsi="Times New Roman"/>
          <w:bCs/>
          <w:sz w:val="28"/>
          <w:szCs w:val="28"/>
          <w:shd w:val="clear" w:fill="FFFFFF" w:color="auto"/>
          <w:lang w:eastAsia="uk-UA"/>
        </w:rPr>
        <w:t xml:space="preserve">Менської міської ради</w:t>
      </w:r>
      <w:bookmarkStart w:id="0" w:name="_Hlk60131183"/>
      <w:r>
        <w:rPr>
          <w:rFonts w:ascii="Times New Roman" w:hAnsi="Times New Roman"/>
          <w:bCs/>
          <w:sz w:val="28"/>
          <w:szCs w:val="28"/>
          <w:shd w:val="clear" w:fill="FFFFFF" w:color="auto"/>
          <w:lang w:eastAsia="uk-UA"/>
        </w:rPr>
        <w:t xml:space="preserve">.</w:t>
      </w:r>
      <w:bookmarkEnd w:id="0"/>
      <w:r/>
      <w:r/>
    </w:p>
    <w:p>
      <w:pPr>
        <w:pStyle w:val="607"/>
        <w:ind w:firstLine="708"/>
        <w:jc w:val="both"/>
        <w:rPr>
          <w:rFonts w:ascii="Times New Roman" w:hAnsi="Times New Roman"/>
          <w:sz w:val="28"/>
          <w:szCs w:val="28"/>
          <w:lang w:eastAsia="uk-UA"/>
        </w:rPr>
      </w:pPr>
      <w:r>
        <w:rPr>
          <w:rFonts w:ascii="Times New Roman" w:hAnsi="Times New Roman" w:eastAsia="Times New Roman"/>
          <w:color w:val="000000"/>
          <w:sz w:val="28"/>
          <w:szCs w:val="28"/>
          <w:shd w:val="clear" w:fill="FFFFFF" w:color="auto"/>
          <w:lang w:eastAsia="uk-UA"/>
        </w:rPr>
        <w:t xml:space="preserve">2. Визначити вимоги до посади:</w:t>
      </w:r>
      <w:r/>
    </w:p>
    <w:p>
      <w:pPr>
        <w:ind w:firstLine="708"/>
        <w:jc w:val="both"/>
        <w:spacing w:lineRule="auto" w:line="240" w:after="0"/>
        <w:rPr>
          <w:rFonts w:ascii="Times New Roman" w:hAnsi="Times New Roman"/>
          <w:color w:val="3C392E"/>
          <w:sz w:val="28"/>
          <w:szCs w:val="28"/>
        </w:rPr>
      </w:pPr>
      <w:r>
        <w:rPr>
          <w:rFonts w:ascii="Times New Roman" w:hAnsi="Times New Roman"/>
          <w:sz w:val="28"/>
          <w:szCs w:val="28"/>
        </w:rPr>
        <w:t xml:space="preserve">- вища освіта</w:t>
      </w:r>
      <w:r>
        <w:rPr>
          <w:rFonts w:ascii="Times New Roman" w:hAnsi="Times New Roman"/>
          <w:sz w:val="28"/>
          <w:szCs w:val="28"/>
          <w:lang w:eastAsia="uk-UA"/>
        </w:rPr>
        <w:t xml:space="preserve"> не нижче ступеня </w:t>
      </w:r>
      <w:bookmarkStart w:id="1" w:name="_Hlk35440741"/>
      <w:r>
        <w:rPr>
          <w:rFonts w:ascii="Times New Roman" w:hAnsi="Times New Roman"/>
          <w:sz w:val="28"/>
          <w:szCs w:val="28"/>
          <w:lang w:eastAsia="uk-UA"/>
        </w:rPr>
        <w:t xml:space="preserve">магістра, спеціаліста;</w:t>
      </w:r>
      <w:bookmarkEnd w:id="1"/>
      <w:r/>
      <w:r/>
    </w:p>
    <w:p>
      <w:pPr>
        <w:pStyle w:val="607"/>
        <w:ind w:firstLine="708"/>
        <w:jc w:val="both"/>
        <w:rPr>
          <w:rFonts w:ascii="Times New Roman" w:hAnsi="Times New Roman"/>
          <w:sz w:val="28"/>
          <w:szCs w:val="28"/>
          <w:lang w:eastAsia="uk-UA"/>
        </w:rPr>
      </w:pPr>
      <w:r>
        <w:rPr>
          <w:rFonts w:ascii="Times New Roman" w:hAnsi="Times New Roman"/>
          <w:sz w:val="28"/>
          <w:szCs w:val="28"/>
        </w:rPr>
        <w:t xml:space="preserve">- </w:t>
      </w:r>
      <w:r>
        <w:rPr>
          <w:rFonts w:ascii="Times New Roman" w:hAnsi="Times New Roman"/>
          <w:sz w:val="28"/>
          <w:szCs w:val="28"/>
          <w:lang w:eastAsia="uk-UA"/>
        </w:rPr>
        <w:t xml:space="preserve">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 власності не менше 2 років; </w:t>
      </w:r>
      <w:r/>
    </w:p>
    <w:p>
      <w:pPr>
        <w:jc w:val="both"/>
        <w:spacing w:lineRule="auto" w:line="240" w:after="0"/>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 вільне володіння державною мовою;</w:t>
      </w:r>
      <w:r/>
    </w:p>
    <w:p>
      <w:pPr>
        <w:jc w:val="both"/>
        <w:spacing w:lineRule="auto" w:line="240" w:after="0"/>
        <w:rPr>
          <w:rFonts w:ascii="Times New Roman" w:hAnsi="Times New Roman"/>
          <w:sz w:val="28"/>
          <w:szCs w:val="28"/>
        </w:rPr>
      </w:pPr>
      <w:r>
        <w:rPr>
          <w:rFonts w:ascii="Times New Roman" w:hAnsi="Times New Roman"/>
          <w:sz w:val="28"/>
          <w:szCs w:val="28"/>
        </w:rPr>
        <w:tab/>
        <w:t xml:space="preserve">- знання основних програм роботи на комп’ютері.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 Провести іспит на заміщення вакантної посади у структурі Менської міської ради</w:t>
      </w:r>
      <w:r>
        <w:rPr>
          <w:rFonts w:ascii="Times New Roman" w:hAnsi="Times New Roman" w:eastAsia="Times New Roman"/>
          <w:color w:val="000000"/>
          <w:sz w:val="28"/>
          <w:szCs w:val="28"/>
          <w:shd w:val="clear" w:fill="FFFFFF" w:color="auto"/>
          <w:lang w:eastAsia="uk-UA"/>
        </w:rPr>
        <w:t xml:space="preserve">.</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Для проведення іспиту затвердити:</w:t>
      </w:r>
      <w:r/>
    </w:p>
    <w:p>
      <w:pPr>
        <w:jc w:val="both"/>
        <w:spacing w:lineRule="auto" w:line="240" w:after="0"/>
        <w:rPr>
          <w:rFonts w:ascii="Times New Roman" w:hAnsi="Times New Roman"/>
          <w:color w:val="000000"/>
          <w:sz w:val="28"/>
          <w:szCs w:val="28"/>
        </w:rPr>
      </w:pPr>
      <w:r>
        <w:rPr>
          <w:rFonts w:ascii="Times New Roman" w:hAnsi="Times New Roman"/>
          <w:sz w:val="28"/>
          <w:szCs w:val="28"/>
        </w:rPr>
        <w:tab/>
        <w:t xml:space="preserve">-</w:t>
      </w:r>
      <w:r>
        <w:rPr>
          <w:rFonts w:ascii="Times New Roman" w:hAnsi="Times New Roman"/>
          <w:color w:val="000000"/>
          <w:sz w:val="28"/>
          <w:szCs w:val="28"/>
        </w:rPr>
        <w:t xml:space="preserve"> п</w:t>
      </w:r>
      <w:r>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Pr>
          <w:rFonts w:ascii="Times New Roman" w:hAnsi="Times New Roman"/>
          <w:sz w:val="28"/>
          <w:szCs w:val="28"/>
          <w:shd w:val="clear" w:fill="FFFFFF" w:color="auto"/>
          <w:lang w:eastAsia="uk-UA"/>
        </w:rPr>
        <w:t xml:space="preserve">посадової особи місцевого самоврядування – завідувача сектору оборонної роботи, цивільного захисту населення та роботи з правоохоронними органами </w:t>
      </w:r>
      <w:r>
        <w:rPr>
          <w:rFonts w:ascii="Times New Roman" w:hAnsi="Times New Roman"/>
          <w:bCs/>
          <w:sz w:val="28"/>
          <w:szCs w:val="28"/>
          <w:shd w:val="clear" w:fill="FFFFFF" w:color="auto"/>
          <w:lang w:eastAsia="uk-UA"/>
        </w:rPr>
        <w:t xml:space="preserve">Менської міської ради</w:t>
      </w:r>
      <w:r>
        <w:rPr>
          <w:rFonts w:ascii="Times New Roman" w:hAnsi="Times New Roman"/>
          <w:sz w:val="28"/>
          <w:szCs w:val="28"/>
        </w:rPr>
        <w:t xml:space="preserve"> у структурі </w:t>
      </w:r>
      <w:r>
        <w:rPr>
          <w:rFonts w:ascii="Times New Roman" w:hAnsi="Times New Roman"/>
          <w:color w:val="000000"/>
          <w:sz w:val="28"/>
          <w:szCs w:val="28"/>
        </w:rPr>
        <w:t xml:space="preserve">Менської міської ради (Додаток).</w:t>
      </w:r>
      <w:r/>
    </w:p>
    <w:p>
      <w:pPr>
        <w:ind w:firstLine="708"/>
        <w:jc w:val="both"/>
        <w:spacing w:lineRule="auto" w:line="240" w:after="0"/>
        <w:rPr>
          <w:rFonts w:ascii="Times New Roman" w:hAnsi="Times New Roman"/>
          <w:color w:val="000000"/>
          <w:sz w:val="28"/>
          <w:szCs w:val="28"/>
        </w:rPr>
      </w:pPr>
      <w:r>
        <w:rPr>
          <w:rFonts w:ascii="Times New Roman" w:hAnsi="Times New Roman"/>
          <w:color w:val="000000"/>
          <w:sz w:val="28"/>
          <w:szCs w:val="28"/>
        </w:rPr>
        <w:t xml:space="preserve">4. Завідувачу сектору кадрової роботи Менської мі</w:t>
      </w:r>
      <w:r>
        <w:rPr>
          <w:rFonts w:ascii="Times New Roman" w:hAnsi="Times New Roman"/>
          <w:color w:val="000000"/>
          <w:sz w:val="28"/>
          <w:szCs w:val="28"/>
        </w:rPr>
        <w:t xml:space="preserve">ської ради ОСЄДАЧ Раїсі Миколаївні, розмістити оголошення про проведення конкурсу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Cs/>
          <w:color w:val="000000"/>
          <w:sz w:val="28"/>
          <w:szCs w:val="28"/>
        </w:rPr>
      </w:pPr>
      <w:r>
        <w:rPr>
          <w:bCs/>
          <w:color w:val="000000"/>
          <w:sz w:val="28"/>
          <w:szCs w:val="28"/>
        </w:rPr>
        <w:t xml:space="preserve">Міський голова                                                                     Геннадій ПРИМАКОВ</w:t>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6"/>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608"/>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spacing w:lineRule="auto" w:line="259" w:after="160"/>
      </w:pPr>
      <w:r>
        <w:br w:type="page"/>
      </w:r>
      <w:r/>
    </w:p>
    <w:p>
      <w:pPr>
        <w:pStyle w:val="608"/>
        <w:ind w:left="5103"/>
        <w:spacing w:lineRule="atLeast" w:line="301" w:after="0"/>
        <w:rPr>
          <w:rFonts w:ascii="Times New Roman" w:hAnsi="Times New Roman"/>
          <w:sz w:val="28"/>
          <w:szCs w:val="28"/>
          <w:lang w:val="ru-RU"/>
        </w:rPr>
      </w:pPr>
      <w:r>
        <w:rPr>
          <w:rFonts w:ascii="Times New Roman" w:hAnsi="Times New Roman"/>
          <w:sz w:val="28"/>
          <w:szCs w:val="28"/>
          <w:lang w:val="ru-RU"/>
        </w:rPr>
        <w:t xml:space="preserve">Додаток</w:t>
      </w:r>
      <w:r>
        <w:rPr>
          <w:rFonts w:ascii="Times New Roman" w:hAnsi="Times New Roman"/>
          <w:sz w:val="28"/>
          <w:szCs w:val="28"/>
          <w:lang w:val="ru-RU"/>
        </w:rPr>
        <w:t xml:space="preserve"> </w:t>
      </w:r>
      <w:r/>
    </w:p>
    <w:p>
      <w:pPr>
        <w:pStyle w:val="608"/>
        <w:ind w:left="5103"/>
        <w:spacing w:lineRule="atLeast" w:line="301" w:after="0"/>
        <w:rPr>
          <w:rFonts w:ascii="Times New Roman" w:hAnsi="Times New Roman"/>
          <w:sz w:val="28"/>
          <w:szCs w:val="28"/>
        </w:rPr>
      </w:pPr>
      <w:r>
        <w:rPr>
          <w:rFonts w:ascii="Times New Roman" w:hAnsi="Times New Roman"/>
          <w:sz w:val="28"/>
          <w:szCs w:val="28"/>
          <w:lang w:val="ru-RU"/>
        </w:rPr>
        <w:t xml:space="preserve">до </w:t>
      </w:r>
      <w:r>
        <w:rPr>
          <w:rFonts w:ascii="Times New Roman" w:hAnsi="Times New Roman"/>
          <w:sz w:val="28"/>
          <w:szCs w:val="28"/>
          <w:lang w:val="ru-RU"/>
        </w:rPr>
        <w:t xml:space="preserve">розпорядженн</w:t>
      </w:r>
      <w:r>
        <w:rPr>
          <w:rFonts w:ascii="Times New Roman" w:hAnsi="Times New Roman"/>
          <w:sz w:val="28"/>
          <w:szCs w:val="28"/>
        </w:rPr>
        <w:t xml:space="preserve">я міського голови </w:t>
      </w:r>
      <w:r/>
    </w:p>
    <w:p>
      <w:pPr>
        <w:pStyle w:val="608"/>
        <w:ind w:left="5103" w:firstLine="1"/>
        <w:spacing w:lineRule="atLeast" w:line="301" w:after="0"/>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3</w:t>
      </w:r>
      <w:r>
        <w:rPr>
          <w:rFonts w:ascii="Times New Roman" w:hAnsi="Times New Roman"/>
          <w:sz w:val="28"/>
          <w:szCs w:val="28"/>
        </w:rPr>
        <w:t xml:space="preserve"> </w:t>
      </w:r>
      <w:r>
        <w:rPr>
          <w:rFonts w:ascii="Times New Roman" w:hAnsi="Times New Roman"/>
          <w:sz w:val="28"/>
          <w:szCs w:val="28"/>
        </w:rPr>
        <w:t xml:space="preserve">лютого</w:t>
      </w:r>
      <w:r>
        <w:rPr>
          <w:rFonts w:ascii="Times New Roman" w:hAnsi="Times New Roman"/>
          <w:sz w:val="28"/>
          <w:szCs w:val="28"/>
        </w:rPr>
        <w:t xml:space="preserve"> 202</w:t>
      </w:r>
      <w:r>
        <w:rPr>
          <w:rFonts w:ascii="Times New Roman" w:hAnsi="Times New Roman"/>
          <w:sz w:val="28"/>
          <w:szCs w:val="28"/>
        </w:rPr>
        <w:t xml:space="preserve">2</w:t>
      </w:r>
      <w:r>
        <w:rPr>
          <w:rFonts w:ascii="Times New Roman" w:hAnsi="Times New Roman"/>
          <w:sz w:val="28"/>
          <w:szCs w:val="28"/>
        </w:rPr>
        <w:t xml:space="preserve"> року № </w:t>
      </w:r>
      <w:r>
        <w:rPr>
          <w:rFonts w:ascii="Times New Roman" w:hAnsi="Times New Roman"/>
          <w:sz w:val="28"/>
          <w:szCs w:val="28"/>
        </w:rPr>
        <w:t xml:space="preserve">60</w:t>
      </w:r>
      <w:bookmarkStart w:id="2" w:name="_GoBack"/>
      <w:r/>
      <w:bookmarkEnd w:id="2"/>
      <w:r/>
      <w:r/>
    </w:p>
    <w:p>
      <w:pPr>
        <w:pStyle w:val="608"/>
        <w:ind w:left="6372" w:firstLine="1"/>
        <w:spacing w:lineRule="atLeast" w:line="301" w:after="0"/>
        <w:rPr>
          <w:rFonts w:ascii="Times New Roman" w:hAnsi="Times New Roman"/>
        </w:rPr>
      </w:pPr>
      <w:r>
        <w:rPr>
          <w:rFonts w:ascii="Times New Roman" w:hAnsi="Times New Roman"/>
        </w:rPr>
      </w:r>
      <w:r/>
    </w:p>
    <w:p>
      <w:pPr>
        <w:pStyle w:val="608"/>
        <w:ind w:left="6372" w:firstLine="1"/>
        <w:spacing w:lineRule="atLeast" w:line="301" w:after="0"/>
        <w:rPr>
          <w:rFonts w:ascii="Times New Roman" w:hAnsi="Times New Roman"/>
        </w:rPr>
      </w:pPr>
      <w:r>
        <w:rPr>
          <w:rFonts w:ascii="Times New Roman" w:hAnsi="Times New Roman"/>
        </w:rPr>
      </w:r>
      <w:r/>
    </w:p>
    <w:p>
      <w:pPr>
        <w:pStyle w:val="607"/>
        <w:jc w:val="center"/>
        <w:rPr>
          <w:rFonts w:ascii="Times New Roman" w:hAnsi="Times New Roman" w:eastAsia="Times New Roman"/>
          <w:b/>
          <w:sz w:val="28"/>
        </w:rPr>
      </w:pPr>
      <w:r>
        <w:rPr>
          <w:rFonts w:ascii="Times New Roman" w:hAnsi="Times New Roman" w:eastAsia="Times New Roman"/>
          <w:b/>
          <w:sz w:val="28"/>
          <w:szCs w:val="28"/>
        </w:rPr>
        <w:t xml:space="preserve">Перелік питань на перевірку знання Конституції України,</w:t>
      </w:r>
      <w:r/>
    </w:p>
    <w:p>
      <w:pPr>
        <w:pStyle w:val="607"/>
        <w:jc w:val="center"/>
        <w:rPr>
          <w:rFonts w:ascii="Times New Roman" w:hAnsi="Times New Roman" w:eastAsia="Times New Roman"/>
          <w:b/>
          <w:color w:val="000000"/>
          <w:sz w:val="28"/>
          <w:szCs w:val="28"/>
        </w:rPr>
      </w:pPr>
      <w:r>
        <w:rPr>
          <w:rFonts w:ascii="Times New Roman" w:hAnsi="Times New Roman" w:eastAsia="Times New Roman"/>
          <w:b/>
          <w:sz w:val="28"/>
          <w:szCs w:val="28"/>
        </w:rPr>
        <w:t xml:space="preserve">Законів України </w:t>
      </w:r>
      <w:r>
        <w:rPr>
          <w:rFonts w:ascii="Times New Roman" w:hAnsi="Times New Roman" w:eastAsia="Times New Roman"/>
          <w:b/>
          <w:bCs/>
          <w:iCs/>
          <w:color w:val="000000"/>
          <w:sz w:val="28"/>
          <w:szCs w:val="28"/>
        </w:rPr>
        <w:t xml:space="preserve">«Про службу в органах місцевого самоврядування», </w:t>
      </w:r>
      <w:r/>
    </w:p>
    <w:p>
      <w:pPr>
        <w:pStyle w:val="607"/>
        <w:jc w:val="center"/>
        <w:rPr>
          <w:rFonts w:ascii="Times New Roman" w:hAnsi="Times New Roman" w:eastAsia="Times New Roman"/>
          <w:b/>
          <w:sz w:val="28"/>
          <w:szCs w:val="28"/>
        </w:rPr>
      </w:pPr>
      <w:r>
        <w:rPr>
          <w:rStyle w:val="612"/>
          <w:rFonts w:ascii="Times New Roman" w:hAnsi="Times New Roman" w:eastAsia="Times New Roman"/>
          <w:b/>
          <w:bCs/>
          <w:color w:val="000000"/>
          <w:sz w:val="28"/>
          <w:szCs w:val="28"/>
        </w:rPr>
        <w:t xml:space="preserve">«Про запобігання корупції», </w:t>
      </w:r>
      <w:r>
        <w:rPr>
          <w:rFonts w:ascii="Times New Roman" w:hAnsi="Times New Roman" w:eastAsia="Times New Roman"/>
          <w:b/>
          <w:bCs/>
          <w:iCs/>
          <w:color w:val="000000"/>
          <w:sz w:val="28"/>
          <w:szCs w:val="28"/>
        </w:rPr>
        <w:t xml:space="preserve">«Про місцеве самоврядування в Україні».</w:t>
      </w:r>
      <w:r>
        <w:rPr>
          <w:rStyle w:val="613"/>
          <w:rFonts w:ascii="Times New Roman" w:hAnsi="Times New Roman"/>
          <w:b/>
          <w:color w:val="333333"/>
          <w:sz w:val="28"/>
          <w:szCs w:val="28"/>
        </w:rPr>
        <w:t xml:space="preserve"> </w:t>
      </w:r>
      <w:r>
        <w:rPr>
          <w:rFonts w:ascii="Times New Roman" w:hAnsi="Times New Roman" w:eastAsia="Times New Roman"/>
          <w:b/>
          <w:bCs/>
          <w:iCs/>
          <w:color w:val="000000"/>
          <w:sz w:val="28"/>
          <w:szCs w:val="28"/>
        </w:rPr>
        <w:t xml:space="preserve"> </w:t>
      </w:r>
      <w:r/>
    </w:p>
    <w:p>
      <w:pPr>
        <w:pStyle w:val="608"/>
        <w:ind w:left="6372" w:firstLine="1"/>
        <w:spacing w:lineRule="atLeast" w:line="301" w:after="0"/>
        <w:rPr>
          <w:rFonts w:ascii="Times New Roman" w:hAnsi="Times New Roman"/>
        </w:rPr>
      </w:pPr>
      <w:r>
        <w:rPr>
          <w:rFonts w:ascii="Times New Roman" w:hAnsi="Times New Roman"/>
        </w:rPr>
      </w:r>
      <w:r/>
    </w:p>
    <w:p>
      <w:pPr>
        <w:ind w:firstLine="709"/>
        <w:jc w:val="center"/>
        <w:spacing w:lineRule="atLeast" w:line="301" w:after="0"/>
        <w:rPr>
          <w:rFonts w:ascii="Times New Roman" w:hAnsi="Times New Roman" w:eastAsia="Times New Roman"/>
          <w:sz w:val="24"/>
          <w:szCs w:val="24"/>
          <w:lang w:eastAsia="uk-UA"/>
        </w:rPr>
      </w:pPr>
      <w:r>
        <w:rPr>
          <w:rFonts w:ascii="Times New Roman" w:hAnsi="Times New Roman" w:eastAsia="Times New Roman"/>
          <w:b/>
          <w:bCs/>
          <w:color w:val="000000"/>
          <w:sz w:val="28"/>
          <w:szCs w:val="28"/>
          <w:lang w:eastAsia="uk-UA"/>
        </w:rPr>
        <w:t xml:space="preserve">I. Питання на перевірку</w:t>
      </w:r>
      <w:r>
        <w:rPr>
          <w:rFonts w:ascii="Times New Roman" w:hAnsi="Times New Roman" w:eastAsia="Times New Roman"/>
          <w:b/>
          <w:bCs/>
          <w:i/>
          <w:iCs/>
          <w:color w:val="000000"/>
          <w:sz w:val="28"/>
          <w:szCs w:val="28"/>
          <w:lang w:eastAsia="uk-UA"/>
        </w:rPr>
        <w:t xml:space="preserve"> </w:t>
      </w:r>
      <w:r>
        <w:rPr>
          <w:rFonts w:ascii="Times New Roman" w:hAnsi="Times New Roman" w:eastAsia="Times New Roman"/>
          <w:b/>
          <w:bCs/>
          <w:color w:val="000000"/>
          <w:sz w:val="28"/>
          <w:szCs w:val="28"/>
          <w:lang w:eastAsia="uk-UA"/>
        </w:rPr>
        <w:t xml:space="preserve">знання Конституції України</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 Основні розділи Конституції України.</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 Основні риси Української держави за Конституцією України (статті 1, </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3. Форма правління в Україні (стаття 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4. Визнання найвищої соціальної цінності України (стаття 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5. Конституційний статус державної мови та мов національних меншин України (стаття 10).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6. Об'єкти права власності Українського народу (статті 13, 14).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7. Найважливіші функції держави (стаття 17).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8. Державні символи України (стаття 20).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9. Конституційне право на працю (стаття 43).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10. Конституційне право на освіту (стаття 53).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11. Конституційне право на соціальний захист (стаття 46).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12. Конституційне право на охорону здоров'я (стаття 49).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13. Обов'язки громадянина України (статті 65 - 68).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14. Право громадянина України на вибори. (статті 70).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15. Призначення  всеукраїнського референдуму. Питання, що вирішуються на всеукраїнському референдумі (статті 72-74).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16. Бюджетна система України. Державний бюджет України (статті 95- 96).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17. Порядок обрання Президента України (стаття 103).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18. Дострокове припинення повноваження Президента України (стаття</w:t>
      </w:r>
      <w:r>
        <w:rPr>
          <w:rFonts w:cs="Calibri" w:eastAsia="Times New Roman"/>
          <w:color w:val="000000"/>
          <w:sz w:val="28"/>
          <w:szCs w:val="28"/>
          <w:lang w:eastAsia="uk-UA"/>
        </w:rPr>
        <w:t xml:space="preserve"> </w:t>
      </w:r>
      <w:r>
        <w:rPr>
          <w:rFonts w:ascii="Times New Roman" w:hAnsi="Times New Roman" w:eastAsia="Times New Roman"/>
          <w:color w:val="000000"/>
          <w:sz w:val="28"/>
          <w:szCs w:val="28"/>
          <w:lang w:eastAsia="uk-UA"/>
        </w:rPr>
        <w:t xml:space="preserve"> 108).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19. Склад Кабінету Міністрів України (стаття 114).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20. Повноваження Кабінету Міністрів України (статті 116, 117).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21. Повноваження місцевих державних адміністрацій (стаття 119).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22. Правосуддя в Україні. Система судів в Україні (стаття 124, 125).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23. Система адміністративно-територіального устрою України (стаття 133).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24.Територіальні громади. Органи місцевого самоврядування в Україні (статті 143-144).</w:t>
      </w:r>
      <w:r/>
    </w:p>
    <w:p>
      <w:pPr>
        <w:spacing w:lineRule="auto" w:line="256"/>
      </w:pPr>
      <w:r>
        <w:br w:type="page"/>
      </w:r>
      <w:r/>
    </w:p>
    <w:p>
      <w:pPr>
        <w:ind w:left="360"/>
        <w:jc w:val="center"/>
        <w:spacing w:lineRule="atLeast" w:line="301" w:after="0"/>
        <w:rPr>
          <w:rFonts w:ascii="Times New Roman" w:hAnsi="Times New Roman" w:eastAsia="Times New Roman"/>
          <w:b/>
          <w:color w:val="000000"/>
          <w:sz w:val="28"/>
          <w:szCs w:val="28"/>
          <w:lang w:eastAsia="uk-UA"/>
        </w:rPr>
      </w:pPr>
      <w:r>
        <w:rPr>
          <w:rFonts w:ascii="Times New Roman" w:hAnsi="Times New Roman" w:eastAsia="Times New Roman"/>
          <w:b/>
          <w:bCs/>
          <w:color w:val="000000"/>
          <w:sz w:val="28"/>
          <w:szCs w:val="28"/>
          <w:lang w:eastAsia="uk-UA"/>
        </w:rPr>
        <w:t xml:space="preserve">II. Питання на перевірку знання Закону України </w:t>
      </w:r>
      <w:r/>
    </w:p>
    <w:p>
      <w:pPr>
        <w:ind w:left="360"/>
        <w:jc w:val="center"/>
        <w:spacing w:lineRule="atLeast" w:line="301" w:after="0"/>
        <w:rPr>
          <w:rFonts w:ascii="Times New Roman" w:hAnsi="Times New Roman" w:eastAsia="Times New Roman"/>
          <w:sz w:val="24"/>
          <w:szCs w:val="24"/>
          <w:lang w:eastAsia="uk-UA"/>
        </w:rPr>
      </w:pPr>
      <w:r>
        <w:rPr>
          <w:rFonts w:ascii="Times New Roman" w:hAnsi="Times New Roman" w:eastAsia="Times New Roman"/>
          <w:b/>
          <w:bCs/>
          <w:color w:val="000000"/>
          <w:sz w:val="28"/>
          <w:szCs w:val="28"/>
          <w:lang w:eastAsia="uk-UA"/>
        </w:rPr>
        <w:t xml:space="preserve">«Про службу в органах місцевого самоврядування»</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 Посади в органах місцевого самоврядування (стаття 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 Основні принципи  служби в органах місцевого самоврядування (стаття</w:t>
      </w:r>
      <w:r>
        <w:rPr>
          <w:rFonts w:cs="Calibri" w:eastAsia="Times New Roman"/>
          <w:color w:val="000000"/>
          <w:sz w:val="28"/>
          <w:szCs w:val="28"/>
          <w:lang w:eastAsia="uk-UA"/>
        </w:rPr>
        <w:t xml:space="preserve"> </w:t>
      </w:r>
      <w:r>
        <w:rPr>
          <w:rFonts w:ascii="Times New Roman" w:hAnsi="Times New Roman" w:eastAsia="Times New Roman"/>
          <w:color w:val="000000"/>
          <w:sz w:val="28"/>
          <w:szCs w:val="28"/>
          <w:lang w:eastAsia="uk-UA"/>
        </w:rPr>
        <w:t xml:space="preserve"> 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6. Право на службу в органах місцевого самоврядування (стаття 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3. Основні обов’язки посадових осіб місцевого самоврядування (стаття 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4. Основні права посадових осіб місцевого самоврядування (стаття 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5. Прийняття на службу в органи місцевого самоврядування (стаття 10).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7. Присяга посадових осіб місцевого самоврядування (стаття 11).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8. Обмеження, </w:t>
      </w:r>
      <w:r>
        <w:rPr>
          <w:rFonts w:ascii="Times New Roman" w:hAnsi="Times New Roman" w:eastAsia="Times New Roman"/>
          <w:color w:val="000000"/>
          <w:sz w:val="28"/>
          <w:szCs w:val="28"/>
          <w:lang w:eastAsia="uk-UA"/>
        </w:rPr>
        <w:t xml:space="preserve">пов&amp;apos;язані</w:t>
      </w:r>
      <w:r>
        <w:rPr>
          <w:rFonts w:ascii="Times New Roman" w:hAnsi="Times New Roman" w:eastAsia="Times New Roman"/>
          <w:color w:val="000000"/>
          <w:sz w:val="28"/>
          <w:szCs w:val="28"/>
          <w:lang w:eastAsia="uk-UA"/>
        </w:rPr>
        <w:t xml:space="preserve"> з прийняттям на службу в органи місцевого самоврядування (статті 12).</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9. Граничний вік перебування на службі в органах місцевого самоврядування(стаття 18).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10. Підстави припинення служби в органах місцевого самоврядування (стаття 20).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11. Класифікація посад в органах місцевого самоврядування (статті 14).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12. Ранги посадових осіб місцевого самоврядування (стаття 15).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13. Правове регулювання статусу посадових осіб місцевого самоврядування (стаття 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14. Кадровий резерв служби в органах місцевого самоврядування (стаття</w:t>
      </w:r>
      <w:r>
        <w:rPr>
          <w:rFonts w:cs="Calibri" w:eastAsia="Times New Roman"/>
          <w:color w:val="000000"/>
          <w:sz w:val="28"/>
          <w:szCs w:val="28"/>
          <w:lang w:eastAsia="uk-UA"/>
        </w:rPr>
        <w:t xml:space="preserve"> </w:t>
      </w:r>
      <w:r>
        <w:rPr>
          <w:rFonts w:ascii="Times New Roman" w:hAnsi="Times New Roman" w:eastAsia="Times New Roman"/>
          <w:color w:val="000000"/>
          <w:sz w:val="28"/>
          <w:szCs w:val="28"/>
          <w:lang w:eastAsia="uk-UA"/>
        </w:rPr>
        <w:t xml:space="preserve"> 16).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15. Відповідальність за порушення законодавства про службу в органах місцевого самоврядування (стаття 23).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16. Оплата праці, відпустки та пенсійне забезпечення посадових осіб місцевого самоврядування (стаття 21).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17. Атестація посадових осіб місцевого самоврядування (стаття 17).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18. Відповідальність посадової особи місцевого самоврядування (стаття  24).</w:t>
      </w:r>
      <w:r/>
    </w:p>
    <w:p>
      <w:pPr>
        <w:spacing w:lineRule="atLeast" w:line="301"/>
        <w:rPr>
          <w:rFonts w:ascii="Times New Roman" w:hAnsi="Times New Roman" w:eastAsia="Times New Roman"/>
          <w:sz w:val="24"/>
          <w:szCs w:val="24"/>
          <w:u w:val="none"/>
        </w:rPr>
      </w:pPr>
      <w:r>
        <w:rPr>
          <w:rFonts w:ascii="Times New Roman" w:hAnsi="Times New Roman" w:eastAsia="Times New Roman"/>
          <w:sz w:val="24"/>
          <w:szCs w:val="24"/>
          <w:u w:val="none"/>
          <w:lang w:eastAsia="uk-UA"/>
        </w:rPr>
        <w:t xml:space="preserve"> </w:t>
      </w:r>
      <w:r>
        <w:rPr>
          <w:u w:val="none"/>
        </w:rPr>
      </w:r>
    </w:p>
    <w:p>
      <w:pPr>
        <w:jc w:val="center"/>
        <w:spacing w:lineRule="atLeast" w:line="301" w:after="0"/>
        <w:rPr>
          <w:rFonts w:ascii="Times New Roman" w:hAnsi="Times New Roman" w:eastAsia="Times New Roman"/>
          <w:b/>
          <w:color w:val="000000"/>
          <w:sz w:val="28"/>
          <w:szCs w:val="28"/>
          <w:u w:val="none"/>
        </w:rPr>
      </w:pPr>
      <w:r>
        <w:rPr>
          <w:rFonts w:ascii="Times New Roman" w:hAnsi="Times New Roman" w:eastAsia="Times New Roman"/>
          <w:sz w:val="24"/>
          <w:szCs w:val="24"/>
          <w:u w:val="none"/>
          <w:lang w:eastAsia="uk-UA"/>
        </w:rPr>
        <w:t xml:space="preserve"> </w:t>
      </w:r>
      <w:r>
        <w:rPr>
          <w:rFonts w:ascii="Times New Roman" w:hAnsi="Times New Roman" w:eastAsia="Times New Roman"/>
          <w:b/>
          <w:bCs/>
          <w:color w:val="000000"/>
          <w:sz w:val="28"/>
          <w:szCs w:val="28"/>
          <w:u w:val="none"/>
          <w:lang w:eastAsia="uk-UA"/>
        </w:rPr>
        <w:t xml:space="preserve">ІІІ. Питання на перевірку знання </w:t>
      </w:r>
      <w:hyperlink r:id="rId15" w:tooltip="http://zakon1.rada.gov.ua/laws/show/1700-18/paran2#n2" w:anchor="n2" w:history="1">
        <w:r>
          <w:rPr>
            <w:rStyle w:val="610"/>
            <w:rFonts w:ascii="Times New Roman" w:hAnsi="Times New Roman" w:eastAsia="Times New Roman"/>
            <w:b/>
            <w:bCs/>
            <w:color w:val="000000"/>
            <w:sz w:val="28"/>
            <w:szCs w:val="28"/>
            <w:u w:val="none"/>
            <w:lang w:eastAsia="uk-UA"/>
          </w:rPr>
          <w:t xml:space="preserve">Закону України</w:t>
        </w:r>
      </w:hyperlink>
      <w:r>
        <w:rPr>
          <w:rFonts w:ascii="Times New Roman" w:hAnsi="Times New Roman" w:eastAsia="Times New Roman"/>
          <w:b/>
          <w:bCs/>
          <w:color w:val="000000"/>
          <w:sz w:val="28"/>
          <w:szCs w:val="28"/>
          <w:u w:val="none"/>
          <w:lang w:eastAsia="uk-UA"/>
        </w:rPr>
        <w:t xml:space="preserve"> </w:t>
      </w:r>
      <w:r>
        <w:rPr>
          <w:u w:val="none"/>
        </w:rPr>
      </w:r>
    </w:p>
    <w:p>
      <w:pPr>
        <w:jc w:val="center"/>
        <w:spacing w:lineRule="atLeast" w:line="301" w:after="0"/>
        <w:rPr>
          <w:rFonts w:ascii="Times New Roman" w:hAnsi="Times New Roman" w:eastAsia="Times New Roman"/>
          <w:b/>
          <w:bCs/>
          <w:color w:val="000000"/>
          <w:sz w:val="28"/>
          <w:szCs w:val="28"/>
          <w:u w:val="none"/>
        </w:rPr>
      </w:pPr>
      <w:r>
        <w:rPr>
          <w:rFonts w:ascii="Times New Roman" w:hAnsi="Times New Roman" w:eastAsia="Times New Roman"/>
          <w:b/>
          <w:bCs/>
          <w:color w:val="000000"/>
          <w:sz w:val="28"/>
          <w:szCs w:val="28"/>
          <w:u w:val="none"/>
          <w:lang w:eastAsia="uk-UA"/>
        </w:rPr>
        <w:t xml:space="preserve">«Про запобігання корупції»</w:t>
      </w:r>
      <w:r>
        <w:rPr>
          <w:u w:val="none"/>
        </w:rPr>
      </w:r>
    </w:p>
    <w:p>
      <w:pPr>
        <w:ind w:right="502" w:firstLine="709"/>
        <w:jc w:val="both"/>
        <w:spacing w:lineRule="auto" w:line="240" w:after="0"/>
        <w:shd w:val="clear" w:fill="FFFFFF" w:color="auto"/>
        <w:rPr>
          <w:rFonts w:ascii="Times New Roman" w:hAnsi="Times New Roman" w:eastAsia="Times New Roman"/>
          <w:sz w:val="24"/>
          <w:szCs w:val="24"/>
          <w:u w:val="none"/>
        </w:rPr>
      </w:pPr>
      <w:r>
        <w:rPr>
          <w:rFonts w:ascii="Times New Roman" w:hAnsi="Times New Roman" w:eastAsia="Times New Roman"/>
          <w:sz w:val="24"/>
          <w:szCs w:val="24"/>
          <w:u w:val="none"/>
          <w:lang w:eastAsia="uk-UA"/>
        </w:rPr>
        <w:t xml:space="preserve"> </w:t>
      </w:r>
      <w:bookmarkStart w:id="3" w:name="n165"/>
      <w:r>
        <w:rPr>
          <w:rFonts w:ascii="Times New Roman" w:hAnsi="Times New Roman" w:eastAsia="Times New Roman"/>
          <w:color w:val="000000"/>
          <w:sz w:val="28"/>
          <w:szCs w:val="28"/>
          <w:u w:val="none"/>
          <w:lang w:eastAsia="uk-UA"/>
        </w:rPr>
        <w:t xml:space="preserve">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bookmarkEnd w:id="3"/>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"n6" \o "http://zakon1.rada.gov.ua/laws/show/1700-18/paran6#n6"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1</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4" w:name="n166"/>
      <w:r>
        <w:rPr>
          <w:rFonts w:ascii="Times New Roman" w:hAnsi="Times New Roman" w:eastAsia="Times New Roman"/>
          <w:color w:val="000000"/>
          <w:sz w:val="28"/>
          <w:szCs w:val="28"/>
          <w:u w:val="none"/>
          <w:lang w:eastAsia="uk-UA"/>
        </w:rPr>
        <w:t xml:space="preserve">2. Суб’єкти, на яких поширюється дія Закону України «Про запобігання корупції» (</w:t>
      </w:r>
      <w:bookmarkEnd w:id="4"/>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"n24" \o "http://zakon1.rada.gov.ua/laws/show/1700-18/paran24#n24"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3</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5" w:name="n167"/>
      <w:r>
        <w:rPr>
          <w:rFonts w:ascii="Times New Roman" w:hAnsi="Times New Roman" w:eastAsia="Times New Roman"/>
          <w:color w:val="000000"/>
          <w:sz w:val="28"/>
          <w:szCs w:val="28"/>
          <w:u w:val="none"/>
          <w:lang w:eastAsia="uk-UA"/>
        </w:rPr>
        <w:t xml:space="preserve">3. Статус Національного агентства з питань запобігання корупції                (</w:t>
      </w:r>
      <w:bookmarkEnd w:id="5"/>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"n42" \o "http://zakon1.rada.gov.ua/laws/show/1700-18/paran42#n42"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4</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6" w:name="n168"/>
      <w:r>
        <w:rPr>
          <w:rFonts w:ascii="Times New Roman" w:hAnsi="Times New Roman" w:eastAsia="Times New Roman"/>
          <w:color w:val="000000"/>
          <w:sz w:val="28"/>
          <w:szCs w:val="28"/>
          <w:u w:val="none"/>
          <w:lang w:eastAsia="uk-UA"/>
        </w:rPr>
        <w:t xml:space="preserve">4. Повноваження Національного агентства з питань запобігання корупції (</w:t>
      </w:r>
      <w:bookmarkEnd w:id="6"/>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"n159" \o "http://zakon1.rada.gov.ua/laws/show/1700-18/paran159#n159"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11</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rFonts w:ascii="Times New Roman" w:hAnsi="Times New Roman" w:eastAsia="Times New Roman"/>
          <w:color w:val="000000"/>
          <w:sz w:val="28"/>
          <w:szCs w:val="28"/>
          <w:u w:val="none"/>
          <w:lang w:eastAsia="uk-UA"/>
        </w:rPr>
        <w:t xml:space="preserve">5. Права Національного агентства з питань запобігання корупції (</w:t>
      </w:r>
      <w:hyperlink r:id="rId16" w:tooltip="http://zakon1.rada.gov.ua/laws/show/1700-18/paran183#n183" w:anchor="n183" w:history="1">
        <w:r>
          <w:rPr>
            <w:rStyle w:val="610"/>
            <w:rFonts w:ascii="Times New Roman" w:hAnsi="Times New Roman" w:eastAsia="Times New Roman"/>
            <w:color w:val="000000"/>
            <w:sz w:val="28"/>
            <w:szCs w:val="28"/>
            <w:u w:val="none"/>
            <w:lang w:eastAsia="uk-UA"/>
          </w:rPr>
          <w:t xml:space="preserve">стаття  12</w:t>
        </w:r>
      </w:hyperlink>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7" w:name="n170"/>
      <w:r>
        <w:rPr>
          <w:rFonts w:ascii="Times New Roman" w:hAnsi="Times New Roman" w:eastAsia="Times New Roman"/>
          <w:color w:val="000000"/>
          <w:sz w:val="28"/>
          <w:szCs w:val="28"/>
          <w:u w:val="none"/>
          <w:lang w:eastAsia="uk-UA"/>
        </w:rPr>
        <w:t xml:space="preserve">6. Контроль за діяльністю Національного агентства з питань запобігання корупції (</w:t>
      </w:r>
      <w:bookmarkEnd w:id="7"/>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"n215" \o "http://zakon1.rada.gov.ua/laws/show/1700-18/paran215#n215"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14</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8" w:name="n171"/>
      <w:r>
        <w:rPr>
          <w:rFonts w:ascii="Times New Roman" w:hAnsi="Times New Roman" w:eastAsia="Times New Roman"/>
          <w:color w:val="000000"/>
          <w:sz w:val="28"/>
          <w:szCs w:val="28"/>
          <w:u w:val="none"/>
          <w:lang w:eastAsia="uk-UA"/>
        </w:rPr>
        <w:t xml:space="preserve">7. Національна доповідь щодо реалізації засад антикорупційної політики (</w:t>
      </w:r>
      <w:bookmarkEnd w:id="8"/>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"n260" \o "http://zakon1.rada.gov.ua/laws/show/1700-18/paran260#n260"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20</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9" w:name="n172"/>
      <w:r>
        <w:rPr>
          <w:rFonts w:ascii="Times New Roman" w:hAnsi="Times New Roman" w:eastAsia="Times New Roman"/>
          <w:color w:val="000000"/>
          <w:sz w:val="28"/>
          <w:szCs w:val="28"/>
          <w:u w:val="none"/>
          <w:lang w:eastAsia="uk-UA"/>
        </w:rPr>
        <w:t xml:space="preserve">8. Обмеження щодо використання службових повноважень чи свого становища та одержання подарунків (</w:t>
      </w:r>
      <w:bookmarkEnd w:id="9"/>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"n311" \o "http://zakon1.rada.gov.ua/laws/show/1700-18/paran311#n311"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статті 22</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 </w:t>
      </w:r>
      <w:hyperlink r:id="rId17" w:tooltip="http://zakon1.rada.gov.ua/laws/show/1700-18/paran313#n313" w:anchor="n313" w:history="1">
        <w:r>
          <w:rPr>
            <w:rStyle w:val="610"/>
            <w:rFonts w:ascii="Times New Roman" w:hAnsi="Times New Roman" w:eastAsia="Times New Roman"/>
            <w:color w:val="000000"/>
            <w:sz w:val="28"/>
            <w:szCs w:val="28"/>
            <w:u w:val="none"/>
            <w:lang w:eastAsia="uk-UA"/>
          </w:rPr>
          <w:t xml:space="preserve">23</w:t>
        </w:r>
      </w:hyperlink>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0" w:name="n173"/>
      <w:r>
        <w:rPr>
          <w:rFonts w:ascii="Times New Roman" w:hAnsi="Times New Roman" w:eastAsia="Times New Roman"/>
          <w:color w:val="000000"/>
          <w:sz w:val="28"/>
          <w:szCs w:val="28"/>
          <w:u w:val="none"/>
          <w:lang w:eastAsia="uk-UA"/>
        </w:rPr>
        <w:t xml:space="preserve">9. Обмеження щодо сумісництва та суміщення з іншими видами діяльності та обмеження спільної роботи близьких осіб (</w:t>
      </w:r>
      <w:bookmarkEnd w:id="10"/>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"n335" \o "http://zakon1.rada.gov.ua/laws/show/1700-18/paran335#n335"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статті 25</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 </w:t>
      </w:r>
      <w:hyperlink r:id="rId18" w:tooltip="http://zakon1.rada.gov.ua/laws/show/1700-18/paran348#n348" w:anchor="n348" w:history="1">
        <w:r>
          <w:rPr>
            <w:rStyle w:val="610"/>
            <w:rFonts w:ascii="Times New Roman" w:hAnsi="Times New Roman" w:eastAsia="Times New Roman"/>
            <w:color w:val="000000"/>
            <w:sz w:val="28"/>
            <w:szCs w:val="28"/>
            <w:u w:val="none"/>
            <w:lang w:eastAsia="uk-UA"/>
          </w:rPr>
          <w:t xml:space="preserve">27</w:t>
        </w:r>
      </w:hyperlink>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1" w:name="n174"/>
      <w:r>
        <w:rPr>
          <w:rFonts w:ascii="Times New Roman" w:hAnsi="Times New Roman" w:eastAsia="Times New Roman"/>
          <w:color w:val="000000"/>
          <w:sz w:val="28"/>
          <w:szCs w:val="28"/>
          <w:u w:val="none"/>
          <w:lang w:eastAsia="uk-UA"/>
        </w:rPr>
        <w:t xml:space="preserve">10. Запобігання та врегулювання конфлікту інтересів (</w:t>
      </w:r>
      <w:bookmarkEnd w:id="11"/>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"n359" \o "http://zakon1.rada.gov.ua/laws/show/1700-18/paran359#n359"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28</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2" w:name="n175"/>
      <w:r>
        <w:rPr>
          <w:rFonts w:ascii="Times New Roman" w:hAnsi="Times New Roman" w:eastAsia="Times New Roman"/>
          <w:color w:val="000000"/>
          <w:sz w:val="28"/>
          <w:szCs w:val="28"/>
          <w:u w:val="none"/>
          <w:lang w:eastAsia="uk-UA"/>
        </w:rPr>
        <w:t xml:space="preserve">11. Заходи зовнішнього та самостійного врегулювання конфлікту інтересів (</w:t>
      </w:r>
      <w:bookmarkEnd w:id="12"/>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"n372" \o "http://zakon1.rada.gov.ua/laws/show/1700-18/paran372#n372"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29</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3" w:name="n176"/>
      <w:r>
        <w:rPr>
          <w:rFonts w:ascii="Times New Roman" w:hAnsi="Times New Roman" w:eastAsia="Times New Roman"/>
          <w:color w:val="000000"/>
          <w:sz w:val="28"/>
          <w:szCs w:val="28"/>
          <w:u w:val="none"/>
          <w:lang w:eastAsia="uk-UA"/>
        </w:rPr>
        <w:t xml:space="preserve">12. Запобігання конфлікту інтересів у зв’язку з наявністю в особи підприємств чи корпоративних прав (</w:t>
      </w:r>
      <w:bookmarkEnd w:id="13"/>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"n405" \o "http://zakon1.rada.gov.ua/laws/show/1700-18/paran405#n405"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36</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4" w:name="n177"/>
      <w:r>
        <w:rPr>
          <w:rFonts w:ascii="Times New Roman" w:hAnsi="Times New Roman" w:eastAsia="Times New Roman"/>
          <w:color w:val="000000"/>
          <w:sz w:val="28"/>
          <w:szCs w:val="28"/>
          <w:u w:val="none"/>
          <w:lang w:eastAsia="uk-UA"/>
        </w:rPr>
        <w:t xml:space="preserve">13. Вимоги до поведінки осіб (</w:t>
      </w:r>
      <w:bookmarkEnd w:id="14"/>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"n417" \o "http://zakon1.rada.gov.ua/laws/show/1700-18/paran417#n417"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37</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5" w:name="n178"/>
      <w:r>
        <w:rPr>
          <w:rFonts w:ascii="Times New Roman" w:hAnsi="Times New Roman" w:eastAsia="Times New Roman"/>
          <w:color w:val="000000"/>
          <w:sz w:val="28"/>
          <w:szCs w:val="28"/>
          <w:u w:val="none"/>
          <w:lang w:eastAsia="uk-UA"/>
        </w:rPr>
        <w:t xml:space="preserve">14. Подання декларацій осіб, уповноважених на виконання функцій держави або місцевого самоврядування (</w:t>
      </w:r>
      <w:bookmarkEnd w:id="15"/>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"n439" \o "http://zakon1.rada.gov.ua/laws/show/1700-18/paran439#n439"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45</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6" w:name="n179"/>
      <w:r>
        <w:rPr>
          <w:rFonts w:ascii="Times New Roman" w:hAnsi="Times New Roman" w:eastAsia="Times New Roman"/>
          <w:color w:val="000000"/>
          <w:sz w:val="28"/>
          <w:szCs w:val="28"/>
          <w:u w:val="none"/>
          <w:lang w:eastAsia="uk-UA"/>
        </w:rPr>
        <w:t xml:space="preserve">15. </w:t>
      </w:r>
      <w:bookmarkEnd w:id="16"/>
      <w:r>
        <w:rPr>
          <w:rFonts w:ascii="Times New Roman" w:hAnsi="Times New Roman" w:eastAsia="Times New Roman"/>
          <w:color w:val="000000"/>
          <w:sz w:val="28"/>
          <w:szCs w:val="28"/>
          <w:u w:val="none"/>
          <w:lang w:eastAsia="uk-UA"/>
        </w:rPr>
        <w:t xml:space="preserve">Контроль та перевірка декларацій (стаття 51</w:t>
      </w:r>
      <w:r>
        <w:rPr>
          <w:rFonts w:ascii="Times New Roman" w:hAnsi="Times New Roman" w:eastAsia="Times New Roman"/>
          <w:color w:val="000000"/>
          <w:sz w:val="28"/>
          <w:szCs w:val="28"/>
          <w:u w:val="none"/>
          <w:vertAlign w:val="superscript"/>
          <w:lang w:eastAsia="uk-UA"/>
        </w:rPr>
        <w:t xml:space="preserve">1</w:t>
      </w:r>
      <w:r>
        <w:rPr>
          <w:rFonts w:ascii="Times New Roman" w:hAnsi="Times New Roman" w:eastAsia="Times New Roman"/>
          <w:color w:val="000000"/>
          <w:sz w:val="28"/>
          <w:szCs w:val="28"/>
          <w:u w:val="none"/>
          <w:lang w:eastAsia="uk-UA"/>
        </w:rPr>
        <w:t xml:space="preserve">)</w:t>
      </w:r>
      <w:r>
        <w:rPr>
          <w:rFonts w:ascii="Times New Roman" w:hAnsi="Times New Roman" w:eastAsia="Times New Roman"/>
          <w:sz w:val="24"/>
          <w:szCs w:val="24"/>
          <w:u w:val="none"/>
        </w:rPr>
        <w:t xml:space="preserve"> </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7" w:name="n180"/>
      <w:r>
        <w:rPr>
          <w:rFonts w:ascii="Times New Roman" w:hAnsi="Times New Roman" w:eastAsia="Times New Roman"/>
          <w:color w:val="000000"/>
          <w:sz w:val="28"/>
          <w:szCs w:val="28"/>
          <w:u w:val="none"/>
          <w:lang w:eastAsia="uk-UA"/>
        </w:rPr>
        <w:t xml:space="preserve">16. Моніторинг способу життя суб’єктів декларування (</w:t>
      </w:r>
      <w:bookmarkEnd w:id="17"/>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"n500" \o "http://zakon1.rada.gov.ua/laws/show/1700-18/paran500#n500"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51</w:t>
      </w:r>
      <w:r>
        <w:rPr>
          <w:rFonts w:ascii="Times New Roman" w:hAnsi="Times New Roman" w:eastAsia="Times New Roman"/>
          <w:sz w:val="24"/>
          <w:szCs w:val="24"/>
          <w:u w:val="none"/>
          <w:lang w:eastAsia="uk-UA"/>
        </w:rPr>
        <w:fldChar w:fldCharType="end"/>
      </w:r>
      <w:r>
        <w:rPr>
          <w:rFonts w:ascii="Times New Roman" w:hAnsi="Times New Roman" w:eastAsia="Times New Roman"/>
          <w:sz w:val="24"/>
          <w:szCs w:val="24"/>
          <w:u w:val="none"/>
          <w:vertAlign w:val="superscript"/>
          <w:lang w:eastAsia="uk-UA"/>
        </w:rPr>
        <w:t xml:space="preserve">4</w:t>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8" w:name="n181"/>
      <w:r>
        <w:rPr>
          <w:rFonts w:ascii="Times New Roman" w:hAnsi="Times New Roman" w:eastAsia="Times New Roman"/>
          <w:color w:val="000000"/>
          <w:sz w:val="28"/>
          <w:szCs w:val="28"/>
          <w:u w:val="none"/>
          <w:lang w:eastAsia="uk-UA"/>
        </w:rPr>
        <w:t xml:space="preserve">17. Державний захист викривачів (</w:t>
      </w:r>
      <w:bookmarkEnd w:id="18"/>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"n512" \o "http://zakon1.rada.gov.ua/laws/show/1700-18/paran512#n512"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53</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9" w:name="n182"/>
      <w:r>
        <w:rPr>
          <w:rFonts w:ascii="Times New Roman" w:hAnsi="Times New Roman" w:eastAsia="Times New Roman"/>
          <w:color w:val="000000"/>
          <w:sz w:val="28"/>
          <w:szCs w:val="28"/>
          <w:u w:val="none"/>
          <w:lang w:eastAsia="uk-UA"/>
        </w:rPr>
        <w:t xml:space="preserve">18. Заборона на одержання пільг, послуг і майна органами державної влади та органами місцевого самоврядування (</w:t>
      </w:r>
      <w:bookmarkEnd w:id="19"/>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"n526" \o "http://zakon1.rada.gov.ua/laws/show/1700-18/paran526#n526"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54</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20" w:name="n183"/>
      <w:r>
        <w:rPr>
          <w:rFonts w:ascii="Times New Roman" w:hAnsi="Times New Roman" w:eastAsia="Times New Roman"/>
          <w:color w:val="000000"/>
          <w:sz w:val="28"/>
          <w:szCs w:val="28"/>
          <w:u w:val="none"/>
          <w:lang w:eastAsia="uk-UA"/>
        </w:rPr>
        <w:t xml:space="preserve">19. Антикорупційна експертиза (</w:t>
      </w:r>
      <w:bookmarkEnd w:id="20"/>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"n529" \o "http://zakon1.rada.gov.ua/laws/show/1700-18/paran529#n529"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55</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21" w:name="n184"/>
      <w:r>
        <w:rPr>
          <w:rFonts w:ascii="Times New Roman" w:hAnsi="Times New Roman" w:eastAsia="Times New Roman"/>
          <w:color w:val="000000"/>
          <w:sz w:val="28"/>
          <w:szCs w:val="28"/>
          <w:u w:val="none"/>
          <w:lang w:eastAsia="uk-UA"/>
        </w:rPr>
        <w:t xml:space="preserve">20. Спеціальна перевірка (</w:t>
      </w:r>
      <w:bookmarkEnd w:id="21"/>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"n550" \o "http://zakon1.rada.gov.ua/laws/show/1700-18/paran550#n550"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56</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22" w:name="n185"/>
      <w:r>
        <w:rPr>
          <w:rFonts w:ascii="Times New Roman" w:hAnsi="Times New Roman" w:eastAsia="Times New Roman"/>
          <w:color w:val="000000"/>
          <w:sz w:val="28"/>
          <w:szCs w:val="28"/>
          <w:u w:val="none"/>
          <w:lang w:eastAsia="uk-UA"/>
        </w:rPr>
        <w:t xml:space="preserve">21. Загальні засади запобігання корупції у діяльності юридичної особи (</w:t>
      </w:r>
      <w:bookmarkEnd w:id="22"/>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"n649" \o "http://zakon1.rada.gov.ua/laws/show/1700-18/paran649#n649"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61</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color w:val="000000"/>
          <w:sz w:val="28"/>
          <w:szCs w:val="28"/>
          <w:u w:val="none"/>
        </w:rPr>
      </w:pPr>
      <w:r>
        <w:rPr>
          <w:u w:val="none"/>
        </w:rPr>
      </w:r>
      <w:bookmarkStart w:id="23" w:name="n186"/>
      <w:r>
        <w:rPr>
          <w:rFonts w:ascii="Times New Roman" w:hAnsi="Times New Roman" w:eastAsia="Times New Roman"/>
          <w:color w:val="000000"/>
          <w:sz w:val="28"/>
          <w:szCs w:val="28"/>
          <w:u w:val="none"/>
          <w:lang w:eastAsia="uk-UA"/>
        </w:rPr>
        <w:t xml:space="preserve">22. Відповідальність за корупційні або пов’язані з корупцією правопорушення (</w:t>
      </w:r>
      <w:bookmarkEnd w:id="23"/>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"n701" \o "http://zakon1.rada.gov.ua/laws/show/1700-18/paran701#n701" </w:instrText>
      </w:r>
      <w:r>
        <w:rPr>
          <w:rFonts w:ascii="Times New Roman" w:hAnsi="Times New Roman" w:eastAsia="Times New Roman"/>
          <w:sz w:val="24"/>
          <w:szCs w:val="24"/>
          <w:u w:val="none"/>
          <w:lang w:eastAsia="uk-UA"/>
        </w:rPr>
        <w:fldChar w:fldCharType="separate"/>
      </w:r>
      <w:r>
        <w:rPr>
          <w:rStyle w:val="610"/>
          <w:rFonts w:ascii="Times New Roman" w:hAnsi="Times New Roman" w:eastAsia="Times New Roman"/>
          <w:color w:val="000000"/>
          <w:sz w:val="28"/>
          <w:szCs w:val="28"/>
          <w:u w:val="none"/>
          <w:lang w:eastAsia="uk-UA"/>
        </w:rPr>
        <w:t xml:space="preserve">стаття 65</w:t>
      </w:r>
      <w:r>
        <w:rPr>
          <w:rFonts w:ascii="Times New Roman" w:hAnsi="Times New Roman" w:eastAsia="Times New Roman"/>
          <w:sz w:val="24"/>
          <w:szCs w:val="24"/>
          <w:u w:val="none"/>
          <w:lang w:eastAsia="uk-UA"/>
        </w:rPr>
        <w:fldChar w:fldCharType="end"/>
      </w:r>
      <w:r>
        <w:rPr>
          <w:rFonts w:ascii="Times New Roman" w:hAnsi="Times New Roman" w:eastAsia="Times New Roman"/>
          <w:sz w:val="24"/>
          <w:szCs w:val="24"/>
          <w:u w:val="none"/>
          <w:vertAlign w:val="superscript"/>
          <w:lang w:eastAsia="uk-UA"/>
        </w:rPr>
        <w:t xml:space="preserve">1</w:t>
      </w:r>
      <w:r>
        <w:rPr>
          <w:rFonts w:ascii="Times New Roman" w:hAnsi="Times New Roman" w:eastAsia="Times New Roman"/>
          <w:color w:val="000000"/>
          <w:sz w:val="28"/>
          <w:szCs w:val="28"/>
          <w:u w:val="none"/>
          <w:lang w:eastAsia="uk-UA"/>
        </w:rPr>
        <w:t xml:space="preserve">).</w:t>
      </w:r>
      <w:r>
        <w:rPr>
          <w:u w:val="none"/>
        </w:rPr>
      </w:r>
    </w:p>
    <w:p>
      <w:pPr>
        <w:ind w:firstLine="709"/>
        <w:jc w:val="both"/>
        <w:spacing w:lineRule="auto" w:line="240" w:after="0"/>
        <w:shd w:val="clear" w:fill="FFFFFF" w:color="auto"/>
        <w:rPr>
          <w:rFonts w:ascii="Times New Roman" w:hAnsi="Times New Roman" w:eastAsia="Times New Roman"/>
          <w:color w:val="000000"/>
          <w:sz w:val="28"/>
          <w:szCs w:val="28"/>
          <w:u w:val="none"/>
        </w:rPr>
      </w:pPr>
      <w:r>
        <w:rPr>
          <w:rFonts w:ascii="Times New Roman" w:hAnsi="Times New Roman" w:eastAsia="Times New Roman"/>
          <w:color w:val="000000"/>
          <w:sz w:val="28"/>
          <w:szCs w:val="28"/>
          <w:u w:val="none"/>
          <w:lang w:eastAsia="uk-UA"/>
        </w:rPr>
      </w:r>
      <w:r>
        <w:rPr>
          <w:u w:val="none"/>
        </w:rPr>
      </w:r>
    </w:p>
    <w:p>
      <w:pPr>
        <w:ind w:firstLine="709"/>
        <w:jc w:val="center"/>
        <w:spacing w:lineRule="auto" w:line="240" w:after="0"/>
        <w:shd w:val="clear" w:fill="FFFFFF" w:color="auto"/>
        <w:rPr>
          <w:rFonts w:ascii="Times New Roman" w:hAnsi="Times New Roman" w:eastAsia="Times New Roman"/>
          <w:b/>
          <w:color w:val="000000"/>
          <w:sz w:val="28"/>
          <w:szCs w:val="28"/>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bCs/>
          <w:color w:val="000000"/>
          <w:sz w:val="28"/>
          <w:szCs w:val="28"/>
          <w:lang w:eastAsia="uk-UA"/>
        </w:rPr>
        <w:t xml:space="preserve">ІV. Питання на перевірку знання Закону України </w:t>
      </w:r>
      <w:r/>
    </w:p>
    <w:p>
      <w:pPr>
        <w:ind w:firstLine="709"/>
        <w:jc w:val="center"/>
        <w:spacing w:lineRule="auto" w:line="240" w:after="0"/>
        <w:shd w:val="clear" w:fill="FFFFFF" w:color="auto"/>
        <w:rPr>
          <w:rFonts w:ascii="Times New Roman" w:hAnsi="Times New Roman" w:eastAsia="Times New Roman"/>
          <w:b/>
          <w:bCs/>
          <w:color w:val="000000"/>
          <w:sz w:val="28"/>
          <w:szCs w:val="28"/>
          <w:lang w:eastAsia="uk-UA"/>
        </w:rPr>
      </w:pPr>
      <w:r>
        <w:rPr>
          <w:rFonts w:ascii="Times New Roman" w:hAnsi="Times New Roman" w:eastAsia="Times New Roman"/>
          <w:b/>
          <w:bCs/>
          <w:color w:val="000000"/>
          <w:sz w:val="28"/>
          <w:szCs w:val="28"/>
          <w:lang w:eastAsia="uk-UA"/>
        </w:rPr>
        <w:t xml:space="preserve">«Про місцеве самоврядування в Україні»</w:t>
      </w:r>
      <w:r/>
    </w:p>
    <w:p>
      <w:pPr>
        <w:spacing w:lineRule="atLeast" w:line="301"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color w:val="000000"/>
          <w:sz w:val="28"/>
          <w:szCs w:val="28"/>
          <w:lang w:eastAsia="uk-UA"/>
        </w:rPr>
        <w:t xml:space="preserve">1. Поняття місцевого самоврядування (стаття 2). Право на участь у місцевому самоврядуванні (стаття 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 Громадські слухання (стаття 13).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3. Відносини органів місцевого самоврядування з підприємствами, установами та організаціями, що не перебувають у комунальній власності відповідної територіальної громади (стаття 18).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4. Порядок формування рад (стаття 45).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5. Організація роботи виконавчого комітету (стаття 53).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6. Депутат ради (стаття 49).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7. Сільський, селищний, міський голова (стаття 12).</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8. Сесія ради (стаття 46).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9. Постійні комісії ради (стаття 47).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10.Секретар сільської, селищної, міської ради (стаття 50).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11. Місцеві бюджети (стаття 61).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12. Символіка територіальних громад сіл, селищ, міст, районів і областей (стаття 22). Підняття Державного Прапора України (стаття 23).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13. Дострокове припинення повноважень сільського, селищного, міського голови (стаття 79).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14. Відповідальність органів та посадових осіб місцевого самоврядування перед державою (стаття 76).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15. Виконавчі органи рад (стаття 11).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16. Дострокове припинення повноважень ради (стаття 78).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17. Законодавство про місцеве самоврядування (стаття 24).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p>
    <w:p>
      <w:pPr>
        <w:pStyle w:val="611"/>
        <w:ind w:right="-1"/>
        <w:jc w:val="center"/>
        <w:spacing w:after="0" w:afterAutospacing="0" w:before="0" w:beforeAutospacing="0"/>
        <w:shd w:val="clear" w:fill="FFFFFF" w:color="auto"/>
        <w:rPr>
          <w:rStyle w:val="613"/>
          <w:b/>
          <w:color w:val="333333"/>
          <w:sz w:val="28"/>
          <w:szCs w:val="28"/>
          <w:lang w:val="uk-UA"/>
        </w:rPr>
      </w:pPr>
      <w:r>
        <w:rPr>
          <w:rStyle w:val="613"/>
          <w:b/>
          <w:bCs/>
          <w:color w:val="333333"/>
          <w:sz w:val="28"/>
          <w:szCs w:val="28"/>
          <w:lang w:val="uk-UA"/>
        </w:rPr>
        <w:t xml:space="preserve">V. Перелік питань для перевірки знань законодавства на посаду завідувача сектору «Оборонної роботи цивільного захисту населення та роботи з правоохоронними органами» Менської міської ради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Класифікація надзвичайних ситуацій,</w:t>
      </w:r>
      <w:r>
        <w:rPr>
          <w:rFonts w:ascii="Times New Roman" w:hAnsi="Times New Roman"/>
          <w:color w:val="333333"/>
          <w:sz w:val="28"/>
          <w:szCs w:val="28"/>
        </w:rPr>
        <w:t xml:space="preserve"> відповідно до ст.5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Суб'єкти  забезпечення цивільного захисту,</w:t>
      </w:r>
      <w:r>
        <w:rPr>
          <w:rFonts w:ascii="Times New Roman" w:hAnsi="Times New Roman"/>
          <w:color w:val="333333"/>
          <w:sz w:val="28"/>
          <w:szCs w:val="28"/>
        </w:rPr>
        <w:t xml:space="preserve"> відповідно до ст.6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Єдина державна система цивільного захисту,</w:t>
      </w:r>
      <w:r>
        <w:rPr>
          <w:rFonts w:ascii="Times New Roman" w:hAnsi="Times New Roman"/>
          <w:color w:val="333333"/>
          <w:sz w:val="28"/>
          <w:szCs w:val="28"/>
        </w:rPr>
        <w:t xml:space="preserve"> відповідно до ст.8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Режими функціонування єдиної державної системи цивільного захисту,</w:t>
      </w:r>
      <w:r>
        <w:rPr>
          <w:rFonts w:ascii="Times New Roman" w:hAnsi="Times New Roman"/>
          <w:color w:val="333333"/>
          <w:sz w:val="28"/>
          <w:szCs w:val="28"/>
        </w:rPr>
        <w:t xml:space="preserve"> відповідно до ст.11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Повноваження органів місцевого самоврядування у сфері цивільного захисту,</w:t>
      </w:r>
      <w:r>
        <w:rPr>
          <w:rFonts w:ascii="Times New Roman" w:hAnsi="Times New Roman"/>
          <w:color w:val="333333"/>
          <w:sz w:val="28"/>
          <w:szCs w:val="28"/>
        </w:rPr>
        <w:t xml:space="preserve"> відповідно до ст.19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color w:val="333333"/>
          <w:sz w:val="28"/>
          <w:szCs w:val="28"/>
        </w:rPr>
        <w:t xml:space="preserve">Завдання і обов'язки суб'єктів господарювання у сфері цивільного захисту, відповідно до ст.20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Права і обов'язки громадян у сфері цивільного захисту,</w:t>
      </w:r>
      <w:r>
        <w:rPr>
          <w:rFonts w:ascii="Times New Roman" w:hAnsi="Times New Roman"/>
          <w:color w:val="333333"/>
          <w:sz w:val="28"/>
          <w:szCs w:val="28"/>
        </w:rPr>
        <w:t xml:space="preserve"> відповідно до ст.21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color w:val="333333"/>
          <w:sz w:val="28"/>
          <w:szCs w:val="28"/>
        </w:rPr>
        <w:t xml:space="preserve">Оповіщення про загрозу або виникнення надзвичайних ситуацій, відповідно до ст.30 Кодексу цивільного захисту України</w:t>
      </w:r>
      <w:r>
        <w:rPr>
          <w:rFonts w:ascii="Times New Roman" w:hAnsi="Times New Roman"/>
          <w:sz w:val="28"/>
          <w:szCs w:val="28"/>
        </w:rPr>
        <w:t xml:space="preserve">.</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Організація навчання населення діям у надзвичайних ситуаціях,</w:t>
      </w:r>
      <w:r>
        <w:rPr>
          <w:rFonts w:ascii="Times New Roman" w:hAnsi="Times New Roman"/>
          <w:color w:val="333333"/>
          <w:sz w:val="28"/>
          <w:szCs w:val="28"/>
        </w:rPr>
        <w:t xml:space="preserve"> відповідно до ст.39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color w:val="333333"/>
          <w:sz w:val="28"/>
          <w:szCs w:val="28"/>
        </w:rPr>
        <w:t xml:space="preserve">Навчання учнів, студентів та дітей дошкільного віку, формування культури безпеки життєдіяльності населення, відповідно до ст.41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Забезпечення техногенної безпеки органами державної влади, органами місцевого самоврядування, суб'єктами господарювання,</w:t>
      </w:r>
      <w:r>
        <w:rPr>
          <w:rFonts w:ascii="Times New Roman" w:hAnsi="Times New Roman"/>
          <w:color w:val="333333"/>
          <w:sz w:val="28"/>
          <w:szCs w:val="28"/>
        </w:rPr>
        <w:t xml:space="preserve"> відповідно до ст.51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Організація робіт з ліквідації наслідків  надзвичайних ситуацій,</w:t>
      </w:r>
      <w:r>
        <w:rPr>
          <w:rFonts w:ascii="Times New Roman" w:hAnsi="Times New Roman"/>
          <w:color w:val="333333"/>
          <w:sz w:val="28"/>
          <w:szCs w:val="28"/>
        </w:rPr>
        <w:t xml:space="preserve"> відповідно до ст.71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Навчання керівного складу та фахівців, діяльність яких пов'язана з організацією і здійсненням заходів з питань цивільного захисту,</w:t>
      </w:r>
      <w:r>
        <w:rPr>
          <w:rFonts w:ascii="Times New Roman" w:hAnsi="Times New Roman"/>
          <w:color w:val="333333"/>
          <w:sz w:val="28"/>
          <w:szCs w:val="28"/>
        </w:rPr>
        <w:t xml:space="preserve"> відповідно до ст.91 Кодексу цивільного захисту України.</w:t>
      </w:r>
      <w:r/>
    </w:p>
    <w:p>
      <w:pPr>
        <w:pStyle w:val="607"/>
        <w:numPr>
          <w:ilvl w:val="0"/>
          <w:numId w:val="2"/>
        </w:numPr>
        <w:ind w:left="0" w:firstLine="567"/>
        <w:jc w:val="both"/>
        <w:rPr>
          <w:rFonts w:ascii="Times New Roman" w:hAnsi="Times New Roman"/>
        </w:rPr>
      </w:pPr>
      <w:r>
        <w:rPr>
          <w:rFonts w:ascii="Times New Roman" w:hAnsi="Times New Roman"/>
          <w:color w:val="333333"/>
          <w:sz w:val="28"/>
          <w:szCs w:val="28"/>
        </w:rPr>
        <w:t xml:space="preserve">Оборонна робота України, відповідно до ст. 2 Закону України «Про оборонну роботу».</w:t>
      </w:r>
      <w:r/>
    </w:p>
    <w:p>
      <w:pPr>
        <w:pStyle w:val="607"/>
        <w:numPr>
          <w:ilvl w:val="0"/>
          <w:numId w:val="2"/>
        </w:numPr>
        <w:ind w:left="0" w:firstLine="567"/>
        <w:jc w:val="both"/>
        <w:rPr>
          <w:rFonts w:ascii="Times New Roman" w:hAnsi="Times New Roman"/>
        </w:rPr>
      </w:pPr>
      <w:r>
        <w:rPr>
          <w:rFonts w:ascii="Times New Roman" w:hAnsi="Times New Roman"/>
          <w:color w:val="333333"/>
          <w:sz w:val="28"/>
          <w:szCs w:val="28"/>
        </w:rPr>
        <w:t xml:space="preserve">Діяльність органів місцевого самоврядування у сфері оборони, відповідно до ст. 15 Закону України «Про оборонну роботу».</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Завдання підприємств, установ та організацій і обов'язки їх посадових осіб у сфері оборони, </w:t>
      </w:r>
      <w:r>
        <w:rPr>
          <w:rFonts w:ascii="Times New Roman" w:hAnsi="Times New Roman"/>
          <w:color w:val="333333"/>
          <w:sz w:val="28"/>
          <w:szCs w:val="28"/>
        </w:rPr>
        <w:t xml:space="preserve">відповідно до ст. 16 Закону України «Про оборонну роботу».</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Права та обов'язки громадян України у сфері оборони, </w:t>
      </w:r>
      <w:r>
        <w:rPr>
          <w:rFonts w:ascii="Times New Roman" w:hAnsi="Times New Roman"/>
          <w:color w:val="333333"/>
          <w:sz w:val="28"/>
          <w:szCs w:val="28"/>
        </w:rPr>
        <w:t xml:space="preserve">відповідно до                       ст. 17 Закону України «Про оборонну роботу».</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Органи місцевого самоврядування, </w:t>
      </w:r>
      <w:r>
        <w:rPr>
          <w:rFonts w:ascii="Times New Roman" w:hAnsi="Times New Roman"/>
          <w:color w:val="333333"/>
          <w:sz w:val="28"/>
          <w:szCs w:val="28"/>
        </w:rPr>
        <w:t xml:space="preserve">відповідно до ст. 18 Закону України «Про мобілізаційну підготовку та мобілізацію».</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Взаємодія поліції з органами державної влади та органами місцевого самоврядування, </w:t>
      </w:r>
      <w:r>
        <w:rPr>
          <w:rFonts w:ascii="Times New Roman" w:hAnsi="Times New Roman"/>
          <w:color w:val="333333"/>
          <w:sz w:val="28"/>
          <w:szCs w:val="28"/>
        </w:rPr>
        <w:t xml:space="preserve">відповідно до ст. 5 Закону України «Про Національну поліцію».</w:t>
      </w:r>
      <w:r/>
    </w:p>
    <w:p>
      <w:pPr>
        <w:pStyle w:val="607"/>
        <w:numPr>
          <w:ilvl w:val="0"/>
          <w:numId w:val="2"/>
        </w:numPr>
        <w:ind w:left="0" w:firstLine="567"/>
        <w:jc w:val="both"/>
        <w:rPr>
          <w:rFonts w:ascii="Times New Roman" w:hAnsi="Times New Roman"/>
        </w:rPr>
      </w:pPr>
      <w:r>
        <w:rPr>
          <w:rFonts w:ascii="Times New Roman" w:hAnsi="Times New Roman"/>
          <w:sz w:val="28"/>
          <w:szCs w:val="28"/>
        </w:rPr>
        <w:t xml:space="preserve">Взаємодія між керівниками територіальних органів поліції та представниками органів місцевого самоврядування, </w:t>
      </w:r>
      <w:r>
        <w:rPr>
          <w:rFonts w:ascii="Times New Roman" w:hAnsi="Times New Roman"/>
          <w:color w:val="333333"/>
          <w:sz w:val="28"/>
          <w:szCs w:val="28"/>
        </w:rPr>
        <w:t xml:space="preserve">відповідно до ст. 88 Закону України «Про Національну поліцію».</w:t>
      </w:r>
      <w:r/>
    </w:p>
    <w:p>
      <w:pPr>
        <w:ind w:firstLine="567"/>
        <w:jc w:val="both"/>
        <w:spacing w:lineRule="auto" w:line="240" w:after="0"/>
        <w:shd w:val="clear" w:fill="FFFFFF" w:color="auto"/>
        <w:rPr>
          <w:rFonts w:ascii="Times New Roman" w:hAnsi="Times New Roman" w:eastAsia="Times New Roman"/>
          <w:sz w:val="24"/>
          <w:szCs w:val="24"/>
        </w:rPr>
      </w:pPr>
      <w:r>
        <w:rPr>
          <w:rFonts w:ascii="Times New Roman" w:hAnsi="Times New Roman" w:eastAsia="Times New Roman"/>
          <w:sz w:val="24"/>
          <w:szCs w:val="24"/>
        </w:rPr>
      </w:r>
      <w:r/>
    </w:p>
    <w:p>
      <w:pPr>
        <w:spacing w:lineRule="auto" w:line="256"/>
      </w:pPr>
      <w:r/>
      <w:r/>
    </w:p>
    <w:p>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
      <w:jc w:val="center"/>
    </w:pPr>
    <w:fldSimple w:instr="PAGE \* MERGEFORMAT">
      <w:r>
        <w:t xml:space="preserve">1</w:t>
      </w:r>
    </w:fldSimple>
    <w:r/>
    <w:r/>
  </w:p>
  <w:p>
    <w:pPr>
      <w:pStyle w:val="40"/>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23" w:hanging="360"/>
      </w:pPr>
      <w:rPr>
        <w:rFonts w:ascii="Times New Roman" w:hAnsi="Times New Roman" w:cs="Times New Roman" w:hint="default"/>
        <w:sz w:val="28"/>
      </w:rPr>
    </w:lvl>
    <w:lvl w:ilvl="1">
      <w:start w:val="1"/>
      <w:numFmt w:val="lowerLetter"/>
      <w:isLgl w:val="false"/>
      <w:suff w:val="tab"/>
      <w:lvlText w:val="%2."/>
      <w:lvlJc w:val="left"/>
      <w:pPr>
        <w:ind w:left="7743" w:hanging="360"/>
      </w:pPr>
    </w:lvl>
    <w:lvl w:ilvl="2">
      <w:start w:val="1"/>
      <w:numFmt w:val="lowerRoman"/>
      <w:isLgl w:val="false"/>
      <w:suff w:val="tab"/>
      <w:lvlText w:val="%3."/>
      <w:lvlJc w:val="right"/>
      <w:pPr>
        <w:ind w:left="8463" w:hanging="180"/>
      </w:pPr>
    </w:lvl>
    <w:lvl w:ilvl="3">
      <w:start w:val="1"/>
      <w:numFmt w:val="decimal"/>
      <w:isLgl w:val="false"/>
      <w:suff w:val="tab"/>
      <w:lvlText w:val="%4."/>
      <w:lvlJc w:val="left"/>
      <w:pPr>
        <w:ind w:left="9183" w:hanging="360"/>
      </w:pPr>
    </w:lvl>
    <w:lvl w:ilvl="4">
      <w:start w:val="1"/>
      <w:numFmt w:val="lowerLetter"/>
      <w:isLgl w:val="false"/>
      <w:suff w:val="tab"/>
      <w:lvlText w:val="%5."/>
      <w:lvlJc w:val="left"/>
      <w:pPr>
        <w:ind w:left="9903" w:hanging="360"/>
      </w:pPr>
    </w:lvl>
    <w:lvl w:ilvl="5">
      <w:start w:val="1"/>
      <w:numFmt w:val="lowerRoman"/>
      <w:isLgl w:val="false"/>
      <w:suff w:val="tab"/>
      <w:lvlText w:val="%6."/>
      <w:lvlJc w:val="right"/>
      <w:pPr>
        <w:ind w:left="10623" w:hanging="180"/>
      </w:pPr>
    </w:lvl>
    <w:lvl w:ilvl="6">
      <w:start w:val="1"/>
      <w:numFmt w:val="decimal"/>
      <w:isLgl w:val="false"/>
      <w:suff w:val="tab"/>
      <w:lvlText w:val="%7."/>
      <w:lvlJc w:val="left"/>
      <w:pPr>
        <w:ind w:left="11343" w:hanging="360"/>
      </w:pPr>
    </w:lvl>
    <w:lvl w:ilvl="7">
      <w:start w:val="1"/>
      <w:numFmt w:val="lowerLetter"/>
      <w:isLgl w:val="false"/>
      <w:suff w:val="tab"/>
      <w:lvlText w:val="%8."/>
      <w:lvlJc w:val="left"/>
      <w:pPr>
        <w:ind w:left="12063" w:hanging="360"/>
      </w:pPr>
    </w:lvl>
    <w:lvl w:ilvl="8">
      <w:start w:val="1"/>
      <w:numFmt w:val="lowerRoman"/>
      <w:isLgl w:val="false"/>
      <w:suff w:val="tab"/>
      <w:lvlText w:val="%9."/>
      <w:lvlJc w:val="right"/>
      <w:pPr>
        <w:ind w:left="12783" w:hanging="180"/>
      </w:pPr>
    </w:lvl>
  </w:abstractNum>
  <w:abstractNum w:abstractNumId="1">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2"/>
    <w:next w:val="60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03"/>
    <w:link w:val="11"/>
    <w:uiPriority w:val="9"/>
    <w:rPr>
      <w:rFonts w:ascii="Arial" w:hAnsi="Arial" w:cs="Arial" w:eastAsia="Arial"/>
      <w:sz w:val="40"/>
      <w:szCs w:val="40"/>
    </w:rPr>
  </w:style>
  <w:style w:type="paragraph" w:styleId="13">
    <w:name w:val="Heading 2"/>
    <w:basedOn w:val="602"/>
    <w:next w:val="60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03"/>
    <w:link w:val="13"/>
    <w:uiPriority w:val="9"/>
    <w:rPr>
      <w:rFonts w:ascii="Arial" w:hAnsi="Arial" w:cs="Arial" w:eastAsia="Arial"/>
      <w:sz w:val="34"/>
    </w:rPr>
  </w:style>
  <w:style w:type="paragraph" w:styleId="15">
    <w:name w:val="Heading 3"/>
    <w:basedOn w:val="602"/>
    <w:next w:val="60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03"/>
    <w:link w:val="15"/>
    <w:uiPriority w:val="9"/>
    <w:rPr>
      <w:rFonts w:ascii="Arial" w:hAnsi="Arial" w:cs="Arial" w:eastAsia="Arial"/>
      <w:sz w:val="30"/>
      <w:szCs w:val="30"/>
    </w:rPr>
  </w:style>
  <w:style w:type="paragraph" w:styleId="17">
    <w:name w:val="Heading 4"/>
    <w:basedOn w:val="602"/>
    <w:next w:val="60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03"/>
    <w:link w:val="17"/>
    <w:uiPriority w:val="9"/>
    <w:rPr>
      <w:rFonts w:ascii="Arial" w:hAnsi="Arial" w:cs="Arial" w:eastAsia="Arial"/>
      <w:b/>
      <w:bCs/>
      <w:sz w:val="26"/>
      <w:szCs w:val="26"/>
    </w:rPr>
  </w:style>
  <w:style w:type="paragraph" w:styleId="19">
    <w:name w:val="Heading 5"/>
    <w:basedOn w:val="602"/>
    <w:next w:val="60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03"/>
    <w:link w:val="19"/>
    <w:uiPriority w:val="9"/>
    <w:rPr>
      <w:rFonts w:ascii="Arial" w:hAnsi="Arial" w:cs="Arial" w:eastAsia="Arial"/>
      <w:b/>
      <w:bCs/>
      <w:sz w:val="24"/>
      <w:szCs w:val="24"/>
    </w:rPr>
  </w:style>
  <w:style w:type="paragraph" w:styleId="21">
    <w:name w:val="Heading 6"/>
    <w:basedOn w:val="602"/>
    <w:next w:val="60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03"/>
    <w:link w:val="21"/>
    <w:uiPriority w:val="9"/>
    <w:rPr>
      <w:rFonts w:ascii="Arial" w:hAnsi="Arial" w:cs="Arial" w:eastAsia="Arial"/>
      <w:b/>
      <w:bCs/>
      <w:sz w:val="22"/>
      <w:szCs w:val="22"/>
    </w:rPr>
  </w:style>
  <w:style w:type="paragraph" w:styleId="23">
    <w:name w:val="Heading 7"/>
    <w:basedOn w:val="602"/>
    <w:next w:val="60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03"/>
    <w:link w:val="23"/>
    <w:uiPriority w:val="9"/>
    <w:rPr>
      <w:rFonts w:ascii="Arial" w:hAnsi="Arial" w:cs="Arial" w:eastAsia="Arial"/>
      <w:b/>
      <w:bCs/>
      <w:i/>
      <w:iCs/>
      <w:sz w:val="22"/>
      <w:szCs w:val="22"/>
    </w:rPr>
  </w:style>
  <w:style w:type="paragraph" w:styleId="25">
    <w:name w:val="Heading 8"/>
    <w:basedOn w:val="602"/>
    <w:next w:val="60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03"/>
    <w:link w:val="25"/>
    <w:uiPriority w:val="9"/>
    <w:rPr>
      <w:rFonts w:ascii="Arial" w:hAnsi="Arial" w:cs="Arial" w:eastAsia="Arial"/>
      <w:i/>
      <w:iCs/>
      <w:sz w:val="22"/>
      <w:szCs w:val="22"/>
    </w:rPr>
  </w:style>
  <w:style w:type="paragraph" w:styleId="27">
    <w:name w:val="Heading 9"/>
    <w:basedOn w:val="602"/>
    <w:next w:val="60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03"/>
    <w:link w:val="27"/>
    <w:uiPriority w:val="9"/>
    <w:rPr>
      <w:rFonts w:ascii="Arial" w:hAnsi="Arial" w:cs="Arial" w:eastAsia="Arial"/>
      <w:i/>
      <w:iCs/>
      <w:sz w:val="21"/>
      <w:szCs w:val="21"/>
    </w:rPr>
  </w:style>
  <w:style w:type="paragraph" w:styleId="29">
    <w:name w:val="List Paragraph"/>
    <w:basedOn w:val="602"/>
    <w:qFormat/>
    <w:uiPriority w:val="34"/>
    <w:pPr>
      <w:contextualSpacing w:val="true"/>
      <w:ind w:left="720"/>
    </w:pPr>
  </w:style>
  <w:style w:type="paragraph" w:styleId="32">
    <w:name w:val="Title"/>
    <w:basedOn w:val="602"/>
    <w:next w:val="602"/>
    <w:link w:val="33"/>
    <w:qFormat/>
    <w:uiPriority w:val="10"/>
    <w:rPr>
      <w:sz w:val="48"/>
      <w:szCs w:val="48"/>
    </w:rPr>
    <w:pPr>
      <w:contextualSpacing w:val="true"/>
      <w:spacing w:after="200" w:before="300"/>
    </w:pPr>
  </w:style>
  <w:style w:type="character" w:styleId="33">
    <w:name w:val="Title Char"/>
    <w:basedOn w:val="603"/>
    <w:link w:val="32"/>
    <w:uiPriority w:val="10"/>
    <w:rPr>
      <w:sz w:val="48"/>
      <w:szCs w:val="48"/>
    </w:rPr>
  </w:style>
  <w:style w:type="paragraph" w:styleId="34">
    <w:name w:val="Subtitle"/>
    <w:basedOn w:val="602"/>
    <w:next w:val="602"/>
    <w:link w:val="35"/>
    <w:qFormat/>
    <w:uiPriority w:val="11"/>
    <w:rPr>
      <w:sz w:val="24"/>
      <w:szCs w:val="24"/>
    </w:rPr>
    <w:pPr>
      <w:spacing w:after="200" w:before="200"/>
    </w:pPr>
  </w:style>
  <w:style w:type="character" w:styleId="35">
    <w:name w:val="Subtitle Char"/>
    <w:basedOn w:val="603"/>
    <w:link w:val="34"/>
    <w:uiPriority w:val="11"/>
    <w:rPr>
      <w:sz w:val="24"/>
      <w:szCs w:val="24"/>
    </w:rPr>
  </w:style>
  <w:style w:type="paragraph" w:styleId="36">
    <w:name w:val="Quote"/>
    <w:basedOn w:val="602"/>
    <w:next w:val="602"/>
    <w:link w:val="37"/>
    <w:qFormat/>
    <w:uiPriority w:val="29"/>
    <w:rPr>
      <w:i/>
    </w:rPr>
    <w:pPr>
      <w:ind w:left="720" w:right="720"/>
    </w:pPr>
  </w:style>
  <w:style w:type="character" w:styleId="37">
    <w:name w:val="Quote Char"/>
    <w:link w:val="36"/>
    <w:uiPriority w:val="29"/>
    <w:rPr>
      <w:i/>
    </w:rPr>
  </w:style>
  <w:style w:type="paragraph" w:styleId="38">
    <w:name w:val="Intense Quote"/>
    <w:basedOn w:val="602"/>
    <w:next w:val="602"/>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02"/>
    <w:link w:val="41"/>
    <w:uiPriority w:val="99"/>
    <w:unhideWhenUsed/>
    <w:pPr>
      <w:spacing w:lineRule="auto" w:line="240" w:after="0"/>
      <w:tabs>
        <w:tab w:val="center" w:pos="7143" w:leader="none"/>
        <w:tab w:val="right" w:pos="14287" w:leader="none"/>
      </w:tabs>
    </w:pPr>
  </w:style>
  <w:style w:type="character" w:styleId="41">
    <w:name w:val="Header Char"/>
    <w:basedOn w:val="603"/>
    <w:link w:val="40"/>
    <w:uiPriority w:val="99"/>
  </w:style>
  <w:style w:type="paragraph" w:styleId="42">
    <w:name w:val="Footer"/>
    <w:basedOn w:val="602"/>
    <w:link w:val="45"/>
    <w:uiPriority w:val="99"/>
    <w:unhideWhenUsed/>
    <w:pPr>
      <w:spacing w:lineRule="auto" w:line="240" w:after="0"/>
      <w:tabs>
        <w:tab w:val="center" w:pos="7143" w:leader="none"/>
        <w:tab w:val="right" w:pos="14287" w:leader="none"/>
      </w:tabs>
    </w:pPr>
  </w:style>
  <w:style w:type="character" w:styleId="43">
    <w:name w:val="Footer Char"/>
    <w:basedOn w:val="603"/>
    <w:link w:val="42"/>
    <w:uiPriority w:val="99"/>
  </w:style>
  <w:style w:type="paragraph" w:styleId="44">
    <w:name w:val="Caption"/>
    <w:basedOn w:val="602"/>
    <w:next w:val="60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0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0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0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0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0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0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0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0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0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0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0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0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0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0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0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0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0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0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0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0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0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0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0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0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0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0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0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0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0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0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0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0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0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0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0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0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0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03"/>
    <w:uiPriority w:val="99"/>
    <w:unhideWhenUsed/>
    <w:rPr>
      <w:vertAlign w:val="superscript"/>
    </w:rPr>
  </w:style>
  <w:style w:type="paragraph" w:styleId="176">
    <w:name w:val="endnote text"/>
    <w:basedOn w:val="602"/>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03"/>
    <w:uiPriority w:val="99"/>
    <w:semiHidden/>
    <w:unhideWhenUsed/>
    <w:rPr>
      <w:vertAlign w:val="superscript"/>
    </w:rPr>
  </w:style>
  <w:style w:type="paragraph" w:styleId="179">
    <w:name w:val="toc 1"/>
    <w:basedOn w:val="602"/>
    <w:next w:val="602"/>
    <w:uiPriority w:val="39"/>
    <w:unhideWhenUsed/>
    <w:pPr>
      <w:ind w:left="0" w:right="0" w:firstLine="0"/>
      <w:spacing w:after="57"/>
    </w:pPr>
  </w:style>
  <w:style w:type="paragraph" w:styleId="180">
    <w:name w:val="toc 2"/>
    <w:basedOn w:val="602"/>
    <w:next w:val="602"/>
    <w:uiPriority w:val="39"/>
    <w:unhideWhenUsed/>
    <w:pPr>
      <w:ind w:left="283" w:right="0" w:firstLine="0"/>
      <w:spacing w:after="57"/>
    </w:pPr>
  </w:style>
  <w:style w:type="paragraph" w:styleId="181">
    <w:name w:val="toc 3"/>
    <w:basedOn w:val="602"/>
    <w:next w:val="602"/>
    <w:uiPriority w:val="39"/>
    <w:unhideWhenUsed/>
    <w:pPr>
      <w:ind w:left="567" w:right="0" w:firstLine="0"/>
      <w:spacing w:after="57"/>
    </w:pPr>
  </w:style>
  <w:style w:type="paragraph" w:styleId="182">
    <w:name w:val="toc 4"/>
    <w:basedOn w:val="602"/>
    <w:next w:val="602"/>
    <w:uiPriority w:val="39"/>
    <w:unhideWhenUsed/>
    <w:pPr>
      <w:ind w:left="850" w:right="0" w:firstLine="0"/>
      <w:spacing w:after="57"/>
    </w:pPr>
  </w:style>
  <w:style w:type="paragraph" w:styleId="183">
    <w:name w:val="toc 5"/>
    <w:basedOn w:val="602"/>
    <w:next w:val="602"/>
    <w:uiPriority w:val="39"/>
    <w:unhideWhenUsed/>
    <w:pPr>
      <w:ind w:left="1134" w:right="0" w:firstLine="0"/>
      <w:spacing w:after="57"/>
    </w:pPr>
  </w:style>
  <w:style w:type="paragraph" w:styleId="184">
    <w:name w:val="toc 6"/>
    <w:basedOn w:val="602"/>
    <w:next w:val="602"/>
    <w:uiPriority w:val="39"/>
    <w:unhideWhenUsed/>
    <w:pPr>
      <w:ind w:left="1417" w:right="0" w:firstLine="0"/>
      <w:spacing w:after="57"/>
    </w:pPr>
  </w:style>
  <w:style w:type="paragraph" w:styleId="185">
    <w:name w:val="toc 7"/>
    <w:basedOn w:val="602"/>
    <w:next w:val="602"/>
    <w:uiPriority w:val="39"/>
    <w:unhideWhenUsed/>
    <w:pPr>
      <w:ind w:left="1701" w:right="0" w:firstLine="0"/>
      <w:spacing w:after="57"/>
    </w:pPr>
  </w:style>
  <w:style w:type="paragraph" w:styleId="186">
    <w:name w:val="toc 8"/>
    <w:basedOn w:val="602"/>
    <w:next w:val="602"/>
    <w:uiPriority w:val="39"/>
    <w:unhideWhenUsed/>
    <w:pPr>
      <w:ind w:left="1984" w:right="0" w:firstLine="0"/>
      <w:spacing w:after="57"/>
    </w:pPr>
  </w:style>
  <w:style w:type="paragraph" w:styleId="187">
    <w:name w:val="toc 9"/>
    <w:basedOn w:val="602"/>
    <w:next w:val="60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2"/>
    <w:next w:val="602"/>
    <w:uiPriority w:val="99"/>
    <w:unhideWhenUsed/>
    <w:pPr>
      <w:spacing w:after="0" w:afterAutospacing="0"/>
    </w:pPr>
  </w:style>
  <w:style w:type="paragraph" w:styleId="602" w:default="1">
    <w:name w:val="Normal"/>
    <w:qFormat/>
    <w:rPr>
      <w:rFonts w:ascii="Calibri" w:hAnsi="Calibri" w:cs="Times New Roman" w:eastAsia="Calibri"/>
      <w:lang w:val="uk-UA"/>
    </w:rPr>
    <w:pPr>
      <w:spacing w:lineRule="auto" w:line="276" w:after="200"/>
    </w:pPr>
  </w:style>
  <w:style w:type="character" w:styleId="603" w:default="1">
    <w:name w:val="Default Paragraph Font"/>
    <w:uiPriority w:val="1"/>
    <w:semiHidden/>
    <w:unhideWhenUsed/>
  </w:style>
  <w:style w:type="table" w:styleId="604" w:default="1">
    <w:name w:val="Normal Table"/>
    <w:uiPriority w:val="99"/>
    <w:semiHidden/>
    <w:unhideWhenUsed/>
    <w:tblPr>
      <w:tblInd w:w="0" w:type="dxa"/>
      <w:tblCellMar>
        <w:left w:w="108" w:type="dxa"/>
        <w:top w:w="0" w:type="dxa"/>
        <w:right w:w="108" w:type="dxa"/>
        <w:bottom w:w="0" w:type="dxa"/>
      </w:tblCellMar>
    </w:tblPr>
  </w:style>
  <w:style w:type="numbering" w:styleId="605" w:default="1">
    <w:name w:val="No List"/>
    <w:uiPriority w:val="99"/>
    <w:semiHidden/>
    <w:unhideWhenUsed/>
  </w:style>
  <w:style w:type="paragraph" w:styleId="606">
    <w:name w:val="Normal (Web)"/>
    <w:basedOn w:val="602"/>
    <w:uiPriority w:val="99"/>
    <w:semiHidden/>
    <w:unhideWhenUsed/>
    <w:rPr>
      <w:rFonts w:ascii="Times New Roman" w:hAnsi="Times New Roman" w:eastAsia="Times New Roman"/>
      <w:sz w:val="24"/>
      <w:szCs w:val="24"/>
      <w:lang w:eastAsia="uk-UA"/>
    </w:rPr>
    <w:pPr>
      <w:spacing w:lineRule="auto" w:line="240" w:after="100" w:afterAutospacing="1" w:before="100" w:beforeAutospacing="1"/>
    </w:pPr>
  </w:style>
  <w:style w:type="paragraph" w:styleId="607">
    <w:name w:val="No Spacing"/>
    <w:qFormat/>
    <w:uiPriority w:val="1"/>
    <w:rPr>
      <w:rFonts w:ascii="Calibri" w:hAnsi="Calibri" w:cs="Times New Roman" w:eastAsia="Calibri"/>
      <w:lang w:val="uk-UA"/>
    </w:rPr>
    <w:pPr>
      <w:spacing w:lineRule="auto" w:line="240" w:after="0"/>
    </w:pPr>
  </w:style>
  <w:style w:type="paragraph" w:styleId="608" w:customStyle="1">
    <w:name w:val="Обычный"/>
    <w:uiPriority w:val="99"/>
    <w:semiHidden/>
    <w:rPr>
      <w:rFonts w:ascii="Calibri" w:hAnsi="Calibri" w:cs="Times New Roman" w:eastAsia="Calibri"/>
      <w:lang w:val="uk-UA"/>
    </w:rPr>
    <w:pPr>
      <w:spacing w:lineRule="auto" w:line="276" w:after="200"/>
    </w:pPr>
  </w:style>
  <w:style w:type="paragraph" w:styleId="609" w:customStyle="1">
    <w:name w:val="docdata"/>
    <w:basedOn w:val="602"/>
    <w:uiPriority w:val="99"/>
    <w:semiHidden/>
    <w:rPr>
      <w:rFonts w:ascii="Times New Roman" w:hAnsi="Times New Roman" w:eastAsia="Times New Roman"/>
      <w:sz w:val="24"/>
      <w:szCs w:val="24"/>
      <w:lang w:val="ru-RU" w:eastAsia="ru-RU"/>
    </w:rPr>
    <w:pPr>
      <w:spacing w:lineRule="auto" w:line="240" w:after="100" w:afterAutospacing="1" w:before="100" w:beforeAutospacing="1"/>
    </w:pPr>
  </w:style>
  <w:style w:type="character" w:styleId="610">
    <w:name w:val="Hyperlink"/>
    <w:basedOn w:val="603"/>
    <w:uiPriority w:val="99"/>
    <w:semiHidden/>
    <w:unhideWhenUsed/>
    <w:rPr>
      <w:color w:val="0563C1" w:themeColor="hyperlink"/>
      <w:u w:val="single"/>
    </w:rPr>
  </w:style>
  <w:style w:type="paragraph" w:styleId="611" w:customStyle="1">
    <w:name w:val="rvps6"/>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612" w:customStyle="1">
    <w:name w:val="rvts15"/>
  </w:style>
  <w:style w:type="character" w:styleId="613" w:customStyle="1">
    <w:name w:val="rvts23"/>
    <w:basedOn w:val="603"/>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image" Target="media/image1.png"/><Relationship Id="rId15" Type="http://schemas.openxmlformats.org/officeDocument/2006/relationships/hyperlink" Target="file:///C:\Users\User\Downloads\&#1076;&#1086;&#1076;&#1072;&#1090;&#1086;&#1082;%20350.docx" TargetMode="External"/><Relationship Id="rId16" Type="http://schemas.openxmlformats.org/officeDocument/2006/relationships/hyperlink" Target="file:///C:\Users\User\Downloads\&#1076;&#1086;&#1076;&#1072;&#1090;&#1086;&#1082;%20350.docx" TargetMode="External"/><Relationship Id="rId17" Type="http://schemas.openxmlformats.org/officeDocument/2006/relationships/hyperlink" Target="file:///C:\Users\User\Downloads\&#1076;&#1086;&#1076;&#1072;&#1090;&#1086;&#1082;%20350.docx" TargetMode="External"/><Relationship Id="rId18" Type="http://schemas.openxmlformats.org/officeDocument/2006/relationships/hyperlink" Target="file:///C:\Users\User\Downloads\&#1076;&#1086;&#1076;&#1072;&#1090;&#1086;&#1082;%20350.docx"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Жураковська Альона Володимирівна</cp:lastModifiedBy>
  <cp:revision>2</cp:revision>
  <dcterms:created xsi:type="dcterms:W3CDTF">2022-02-23T09:30:00Z</dcterms:created>
  <dcterms:modified xsi:type="dcterms:W3CDTF">2022-02-23T14:43:54Z</dcterms:modified>
</cp:coreProperties>
</file>