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13" o:title=""/>
              </v:shape>
            </w:pict>
          </mc:Fallback>
        </mc:AlternateContent>
      </w:r>
    </w:p>
    <w:p>
      <w:pPr>
        <w:pStyle w:val="78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</w:p>
    <w:p>
      <w:pPr>
        <w:pStyle w:val="78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33</w:t>
      </w:r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</w:p>
    <w:p/>
    <w:p>
      <w:pPr>
        <w:ind w:firstLine="709"/>
        <w:spacing w:lineRule="atLeast" w:line="28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</w:rPr>
        <w:t xml:space="preserve">врядування в Україні», рішення 15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рік»:</w:t>
      </w:r>
    </w:p>
    <w:p>
      <w:pPr>
        <w:pStyle w:val="786"/>
        <w:numPr>
          <w:numId w:val="9"/>
          <w:ilvl w:val="0"/>
        </w:numPr>
        <w:ind w:left="0" w:right="0" w:firstLine="567"/>
        <w:spacing w:lineRule="atLeast" w:line="283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помісячного розпису видатків відділу освіти Менської міської ради, а саме: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</w:t>
      </w:r>
      <w:r>
        <w:rPr>
          <w:sz w:val="28"/>
          <w:szCs w:val="28"/>
        </w:rPr>
        <w:t xml:space="preserve"> по наданню дошкільної освіти в частині видатків на заробітну </w:t>
      </w:r>
      <w:r>
        <w:rPr>
          <w:sz w:val="28"/>
          <w:szCs w:val="28"/>
        </w:rPr>
        <w:t xml:space="preserve">плату та нарахування на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плату</w:t>
      </w:r>
      <w:r>
        <w:rPr>
          <w:sz w:val="28"/>
          <w:szCs w:val="28"/>
        </w:rPr>
        <w:t xml:space="preserve"> праці в жовтні місяці  в сумі 14300,00 грн. та 3100,00 грн. відповідно, збільшивши видатки у лютому місяці  </w:t>
      </w:r>
      <w:r>
        <w:rPr>
          <w:sz w:val="28"/>
          <w:szCs w:val="28"/>
        </w:rPr>
        <w:t xml:space="preserve">в частині видатків на заробітну плату в сумі 14300,00 грн. та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нарахування на оплату праці</w:t>
      </w:r>
      <w:r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3100,00 грн. </w:t>
      </w:r>
      <w:r>
        <w:rPr>
          <w:sz w:val="28"/>
          <w:szCs w:val="28"/>
        </w:rPr>
        <w:t xml:space="preserve">(КПКВК 0611010 КЕКВ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, КЕКВ 2120</w:t>
      </w:r>
      <w:r>
        <w:rPr>
          <w:sz w:val="28"/>
          <w:szCs w:val="28"/>
        </w:rPr>
        <w:t xml:space="preserve">);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 по наданню дошкільної освіти в частині видатків на </w:t>
      </w:r>
      <w:r>
        <w:rPr>
          <w:sz w:val="28"/>
          <w:szCs w:val="28"/>
        </w:rPr>
        <w:t xml:space="preserve">оплату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листопаді місяці в сумі 300,00 грн. та в грудні 750,00 грн.</w:t>
      </w:r>
      <w:r>
        <w:rPr>
          <w:sz w:val="28"/>
          <w:szCs w:val="28"/>
        </w:rPr>
        <w:t xml:space="preserve">, збільшивши видатки у лютому місяці  в частині видатків на </w:t>
      </w:r>
      <w:r>
        <w:rPr>
          <w:sz w:val="28"/>
          <w:szCs w:val="28"/>
        </w:rPr>
        <w:t xml:space="preserve">оплату послуг в сумі 1050,00 грн.</w:t>
      </w:r>
      <w:r>
        <w:rPr>
          <w:sz w:val="28"/>
          <w:szCs w:val="28"/>
        </w:rPr>
        <w:t xml:space="preserve"> </w:t>
      </w:r>
    </w:p>
    <w:p>
      <w:pPr>
        <w:ind w:firstLine="0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(КПКВК 0611010 КЕКВ 2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 по наданню дошкільної освіти в частині видатків на </w:t>
      </w:r>
      <w:r>
        <w:rPr>
          <w:sz w:val="28"/>
          <w:szCs w:val="28"/>
        </w:rPr>
        <w:t xml:space="preserve">оплату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грудні в сумі 5751,00 грн.</w:t>
      </w:r>
      <w:r>
        <w:rPr>
          <w:sz w:val="28"/>
          <w:szCs w:val="28"/>
        </w:rPr>
        <w:t xml:space="preserve">, збільшивши видатки у лютому місяці  в частині видатків на </w:t>
      </w:r>
      <w:r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інших енергоносіїв в сумі 5751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</w:t>
      </w:r>
    </w:p>
    <w:p>
      <w:pPr>
        <w:ind w:firstLine="0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(КПКВК 0611010 КЕКВ 2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-5751,00 грн., КЕКВ 2275+5751,00 грн.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 по наданню </w:t>
      </w:r>
      <w:r>
        <w:rPr>
          <w:sz w:val="28"/>
          <w:szCs w:val="28"/>
        </w:rPr>
        <w:t xml:space="preserve">загальної</w:t>
      </w:r>
      <w:r>
        <w:rPr>
          <w:sz w:val="28"/>
          <w:szCs w:val="28"/>
        </w:rPr>
        <w:t xml:space="preserve"> середньої</w:t>
      </w:r>
      <w:r>
        <w:rPr>
          <w:sz w:val="28"/>
          <w:szCs w:val="28"/>
        </w:rPr>
        <w:t xml:space="preserve"> освіти в частині видатків на </w:t>
      </w:r>
      <w:r>
        <w:rPr>
          <w:sz w:val="28"/>
          <w:szCs w:val="28"/>
        </w:rPr>
        <w:t xml:space="preserve">оплату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лютому місяці </w:t>
      </w:r>
      <w:r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2250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збільшивши видатки у лютому місяці  в частині видатків на </w:t>
      </w:r>
      <w:r>
        <w:rPr>
          <w:sz w:val="28"/>
          <w:szCs w:val="28"/>
        </w:rPr>
        <w:t xml:space="preserve">окремі заходи по реалізації  державних (регіональних) програм, не віднесені до заходів розвитку </w:t>
      </w:r>
      <w:r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2250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</w:t>
      </w:r>
    </w:p>
    <w:p>
      <w:pPr>
        <w:ind w:firstLine="0"/>
        <w:spacing w:lineRule="auto" w:line="276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(КПКВК 06110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 КЕКВ 2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2250</w:t>
      </w:r>
      <w:r>
        <w:rPr>
          <w:sz w:val="28"/>
          <w:szCs w:val="28"/>
        </w:rPr>
        <w:t xml:space="preserve">,00 грн., КЕКВ 22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2250</w:t>
      </w:r>
      <w:r>
        <w:rPr>
          <w:sz w:val="28"/>
          <w:szCs w:val="28"/>
        </w:rPr>
        <w:t xml:space="preserve">,00 грн.)</w:t>
      </w:r>
      <w:r>
        <w:rPr>
          <w:sz w:val="28"/>
          <w:szCs w:val="28"/>
        </w:rPr>
        <w:t xml:space="preserve">;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 по наданню </w:t>
      </w:r>
      <w:r>
        <w:rPr>
          <w:sz w:val="28"/>
          <w:szCs w:val="28"/>
        </w:rPr>
        <w:t xml:space="preserve">спеціалізованої освіти музичними школами</w:t>
      </w:r>
      <w:r>
        <w:rPr>
          <w:sz w:val="28"/>
          <w:szCs w:val="28"/>
        </w:rPr>
        <w:t xml:space="preserve"> в частині видатків на </w:t>
      </w:r>
      <w:r>
        <w:rPr>
          <w:sz w:val="28"/>
          <w:szCs w:val="28"/>
        </w:rPr>
        <w:t xml:space="preserve">оплату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лист</w:t>
      </w:r>
      <w:r>
        <w:rPr>
          <w:sz w:val="28"/>
          <w:szCs w:val="28"/>
        </w:rPr>
        <w:t xml:space="preserve">опаді місяці в сумі 40</w:t>
      </w:r>
      <w:r>
        <w:rPr>
          <w:sz w:val="28"/>
          <w:szCs w:val="28"/>
        </w:rPr>
        <w:t xml:space="preserve">00,00 грн. та в грудні </w:t>
      </w:r>
      <w:r>
        <w:rPr>
          <w:sz w:val="28"/>
          <w:szCs w:val="28"/>
        </w:rPr>
        <w:t xml:space="preserve">380</w:t>
      </w:r>
      <w:r>
        <w:rPr>
          <w:sz w:val="28"/>
          <w:szCs w:val="28"/>
        </w:rPr>
        <w:t xml:space="preserve">7,00 грн.</w:t>
      </w:r>
      <w:r>
        <w:rPr>
          <w:sz w:val="28"/>
          <w:szCs w:val="28"/>
        </w:rPr>
        <w:t xml:space="preserve">, збільшивши видатки у лютому місяці  в частині видатків на </w:t>
      </w:r>
      <w:r>
        <w:rPr>
          <w:sz w:val="28"/>
          <w:szCs w:val="28"/>
        </w:rPr>
        <w:t xml:space="preserve">оплату послуг в сумі </w:t>
      </w:r>
      <w:r>
        <w:rPr>
          <w:sz w:val="28"/>
          <w:szCs w:val="28"/>
        </w:rPr>
        <w:t xml:space="preserve">7807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</w:t>
      </w:r>
    </w:p>
    <w:p>
      <w:pPr>
        <w:ind w:firstLine="0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(КПКВК 06110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 КЕКВ 2240);</w:t>
      </w:r>
    </w:p>
    <w:p>
      <w:pPr>
        <w:pStyle w:val="786"/>
        <w:numPr>
          <w:numId w:val="8"/>
          <w:ilvl w:val="0"/>
        </w:numPr>
        <w:ind w:left="0" w:firstLine="709"/>
        <w:spacing w:lineRule="auto" w:line="240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зменшити кошторисні призначення загального фонду по наданню </w:t>
      </w:r>
      <w:r>
        <w:rPr>
          <w:sz w:val="28"/>
          <w:szCs w:val="28"/>
        </w:rPr>
        <w:t xml:space="preserve">спеціалізованої освіти музичними школами</w:t>
      </w:r>
      <w:r>
        <w:rPr>
          <w:sz w:val="28"/>
          <w:szCs w:val="28"/>
        </w:rPr>
        <w:t xml:space="preserve"> в частині видатків на </w:t>
      </w:r>
      <w:r>
        <w:rPr>
          <w:sz w:val="28"/>
          <w:szCs w:val="28"/>
        </w:rPr>
        <w:t xml:space="preserve">оплату 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грудні в сумі </w:t>
      </w:r>
      <w:r>
        <w:rPr>
          <w:sz w:val="28"/>
          <w:szCs w:val="28"/>
        </w:rPr>
        <w:t xml:space="preserve">719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збільшивши видатки у лютому місяці  в частині видатків на </w:t>
      </w:r>
      <w:r>
        <w:rPr>
          <w:sz w:val="28"/>
          <w:szCs w:val="28"/>
        </w:rPr>
        <w:t xml:space="preserve">оплату інших енергоносіїв в сумі </w:t>
      </w:r>
      <w:r>
        <w:rPr>
          <w:sz w:val="28"/>
          <w:szCs w:val="28"/>
        </w:rPr>
        <w:t xml:space="preserve">719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</w:t>
      </w:r>
    </w:p>
    <w:p>
      <w:pPr>
        <w:ind w:firstLine="0"/>
        <w:spacing w:lineRule="auto" w:line="276"/>
        <w:tabs>
          <w:tab w:val="left" w:pos="0" w:leader="none"/>
          <w:tab w:val="clear" w:pos="1134" w:leader="none"/>
        </w:tabs>
        <w:pBdr>
          <w:top w:val="none" w:color="000000" w:sz="4" w:space="4"/>
          <w:between w:val="none" w:color="000000" w:sz="4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(КПКВК 061108</w:t>
      </w:r>
      <w:r>
        <w:rPr>
          <w:sz w:val="28"/>
          <w:szCs w:val="28"/>
        </w:rPr>
        <w:t xml:space="preserve">0 КЕКВ 2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719</w:t>
      </w:r>
      <w:r>
        <w:rPr>
          <w:sz w:val="28"/>
          <w:szCs w:val="28"/>
        </w:rPr>
        <w:t xml:space="preserve">,00 грн., КЕКВ 2275+</w:t>
      </w:r>
      <w:r>
        <w:rPr>
          <w:sz w:val="28"/>
          <w:szCs w:val="28"/>
        </w:rPr>
        <w:t xml:space="preserve">719</w:t>
      </w:r>
      <w:r>
        <w:rPr>
          <w:sz w:val="28"/>
          <w:szCs w:val="28"/>
        </w:rPr>
        <w:t xml:space="preserve">,00 грн.)</w:t>
      </w:r>
      <w:r>
        <w:rPr>
          <w:sz w:val="28"/>
          <w:szCs w:val="28"/>
        </w:rPr>
        <w:t xml:space="preserve">;</w:t>
      </w:r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2. Контроль за виконанням розпорядження покласти на начальника Фінансового управління Менської міської ради А.П.Нерослик.</w:t>
      </w:r>
    </w:p>
    <w:p/>
    <w:p>
      <w:pPr>
        <w:ind w:firstLine="0"/>
      </w:pPr>
      <w:bookmarkStart w:id="0" w:name="_GoBack"/>
      <w:bookmarkEnd w:id="0"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  <w:t xml:space="preserve">Геннадій ПРИМАКОВ</w:t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fldSimple w:instr="PAGE \* MERGEFORMAT">
      <w:r>
        <w:t xml:space="preserve">2</w:t>
      </w:r>
    </w:fldSimple>
  </w:p>
  <w:p>
    <w:pPr>
      <w:pStyle w:val="7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2"/>
    <w:link w:val="65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2"/>
    <w:link w:val="788"/>
    <w:uiPriority w:val="10"/>
    <w:rPr>
      <w:sz w:val="48"/>
      <w:szCs w:val="48"/>
    </w:rPr>
  </w:style>
  <w:style w:type="character" w:styleId="35">
    <w:name w:val="Subtitle Char"/>
    <w:basedOn w:val="662"/>
    <w:link w:val="790"/>
    <w:uiPriority w:val="11"/>
    <w:rPr>
      <w:sz w:val="24"/>
      <w:szCs w:val="24"/>
    </w:rPr>
  </w:style>
  <w:style w:type="character" w:styleId="37">
    <w:name w:val="Quote Char"/>
    <w:link w:val="792"/>
    <w:uiPriority w:val="29"/>
    <w:rPr>
      <w:i/>
    </w:rPr>
  </w:style>
  <w:style w:type="character" w:styleId="39">
    <w:name w:val="Intense Quote Char"/>
    <w:link w:val="794"/>
    <w:uiPriority w:val="30"/>
    <w:rPr>
      <w:i/>
    </w:rPr>
  </w:style>
  <w:style w:type="character" w:styleId="41">
    <w:name w:val="Header Char"/>
    <w:basedOn w:val="662"/>
    <w:link w:val="796"/>
    <w:uiPriority w:val="99"/>
  </w:style>
  <w:style w:type="character" w:styleId="43">
    <w:name w:val="Footer Char"/>
    <w:basedOn w:val="662"/>
    <w:link w:val="798"/>
    <w:uiPriority w:val="99"/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667"/>
    <w:uiPriority w:val="99"/>
    <w:rPr>
      <w:sz w:val="20"/>
    </w:rPr>
  </w:style>
  <w:style w:type="paragraph" w:styleId="65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3">
    <w:name w:val="Heading 1"/>
    <w:basedOn w:val="652"/>
    <w:next w:val="652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>
    <w:name w:val="Heading 2"/>
    <w:basedOn w:val="652"/>
    <w:next w:val="65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78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9">
    <w:name w:val="Heading 7"/>
    <w:basedOn w:val="652"/>
    <w:next w:val="652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78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 w:customStyle="1">
    <w:name w:val="Caption Char"/>
    <w:uiPriority w:val="99"/>
  </w:style>
  <w:style w:type="paragraph" w:styleId="667">
    <w:name w:val="endnote text"/>
    <w:basedOn w:val="652"/>
    <w:link w:val="668"/>
    <w:uiPriority w:val="99"/>
    <w:semiHidden/>
    <w:unhideWhenUsed/>
    <w:rPr>
      <w:sz w:val="20"/>
    </w:rPr>
  </w:style>
  <w:style w:type="character" w:styleId="668" w:customStyle="1">
    <w:name w:val="Текст концевой сноски Знак"/>
    <w:link w:val="667"/>
    <w:uiPriority w:val="99"/>
    <w:rPr>
      <w:sz w:val="20"/>
    </w:rPr>
  </w:style>
  <w:style w:type="character" w:styleId="669">
    <w:name w:val="endnote reference"/>
    <w:basedOn w:val="662"/>
    <w:uiPriority w:val="99"/>
    <w:semiHidden/>
    <w:unhideWhenUsed/>
    <w:rPr>
      <w:vertAlign w:val="superscript"/>
    </w:rPr>
  </w:style>
  <w:style w:type="paragraph" w:styleId="670">
    <w:name w:val="table of figures"/>
    <w:basedOn w:val="652"/>
    <w:next w:val="652"/>
    <w:uiPriority w:val="99"/>
    <w:unhideWhenUsed/>
  </w:style>
  <w:style w:type="table" w:styleId="671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0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1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2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3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4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5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5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6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7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8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39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0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3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5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7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8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FFFFFF"/>
      </w:tcPr>
    </w:tblStylePr>
    <w:tblStylePr w:type="band1Vert">
      <w:tcPr>
        <w:shd w:val="clear" w:fill="FFFFFF" w:color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/>
      </w:tcPr>
    </w:tblStylePr>
  </w:style>
  <w:style w:type="table" w:styleId="776" w:customStyle="1">
    <w:name w:val="Bordered &amp; 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/>
      </w:tcPr>
    </w:tblStylePr>
  </w:style>
  <w:style w:type="character" w:styleId="777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652"/>
    <w:qFormat/>
    <w:uiPriority w:val="34"/>
    <w:pPr>
      <w:contextualSpacing w:val="true"/>
      <w:ind w:left="720"/>
    </w:pPr>
  </w:style>
  <w:style w:type="paragraph" w:styleId="787">
    <w:name w:val="No Spacing"/>
    <w:qFormat/>
    <w:uiPriority w:val="1"/>
    <w:pPr>
      <w:spacing w:lineRule="auto" w:line="240" w:after="0"/>
    </w:pPr>
  </w:style>
  <w:style w:type="paragraph" w:styleId="788">
    <w:name w:val="Title"/>
    <w:basedOn w:val="652"/>
    <w:next w:val="652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ние Знак"/>
    <w:basedOn w:val="662"/>
    <w:link w:val="788"/>
    <w:uiPriority w:val="10"/>
    <w:rPr>
      <w:sz w:val="48"/>
      <w:szCs w:val="48"/>
    </w:rPr>
  </w:style>
  <w:style w:type="paragraph" w:styleId="790">
    <w:name w:val="Subtitle"/>
    <w:basedOn w:val="652"/>
    <w:next w:val="652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одзаголовок Знак"/>
    <w:basedOn w:val="662"/>
    <w:link w:val="790"/>
    <w:uiPriority w:val="11"/>
    <w:rPr>
      <w:sz w:val="24"/>
      <w:szCs w:val="24"/>
    </w:rPr>
  </w:style>
  <w:style w:type="paragraph" w:styleId="792">
    <w:name w:val="Quote"/>
    <w:basedOn w:val="652"/>
    <w:next w:val="652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652"/>
    <w:next w:val="652"/>
    <w:link w:val="795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652"/>
    <w:link w:val="7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7" w:customStyle="1">
    <w:name w:val="Верхний колонтитул Знак"/>
    <w:basedOn w:val="662"/>
    <w:link w:val="796"/>
    <w:uiPriority w:val="99"/>
  </w:style>
  <w:style w:type="paragraph" w:styleId="798">
    <w:name w:val="Footer"/>
    <w:basedOn w:val="652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Нижний колонтитул Знак"/>
    <w:basedOn w:val="662"/>
    <w:link w:val="798"/>
    <w:uiPriority w:val="99"/>
  </w:style>
  <w:style w:type="table" w:styleId="800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802" w:customStyle="1">
    <w:name w:val="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803" w:customStyle="1">
    <w:name w:val="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804" w:customStyle="1">
    <w:name w:val="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805" w:customStyle="1">
    <w:name w:val="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806" w:customStyle="1">
    <w:name w:val="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807" w:customStyle="1">
    <w:name w:val="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808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9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0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1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2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3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4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5" w:customStyle="1">
    <w:name w:val="Bordered &amp; 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816" w:customStyle="1">
    <w:name w:val="Bordered &amp; 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817" w:customStyle="1">
    <w:name w:val="Bordered &amp; 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818" w:customStyle="1">
    <w:name w:val="Bordered &amp; 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819" w:customStyle="1">
    <w:name w:val="Bordered &amp; 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820" w:customStyle="1">
    <w:name w:val="Bordered &amp; 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821" w:customStyle="1">
    <w:name w:val="Bordered &amp; 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2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62"/>
    <w:uiPriority w:val="99"/>
    <w:unhideWhenUsed/>
    <w:rPr>
      <w:vertAlign w:val="superscript"/>
    </w:rPr>
  </w:style>
  <w:style w:type="paragraph" w:styleId="826">
    <w:name w:val="toc 1"/>
    <w:basedOn w:val="652"/>
    <w:next w:val="652"/>
    <w:uiPriority w:val="39"/>
    <w:unhideWhenUsed/>
    <w:pPr>
      <w:ind w:firstLine="0"/>
      <w:spacing w:after="57"/>
    </w:pPr>
  </w:style>
  <w:style w:type="paragraph" w:styleId="827">
    <w:name w:val="toc 2"/>
    <w:basedOn w:val="652"/>
    <w:next w:val="652"/>
    <w:uiPriority w:val="39"/>
    <w:unhideWhenUsed/>
    <w:pPr>
      <w:ind w:left="283" w:firstLine="0"/>
      <w:spacing w:after="57"/>
    </w:pPr>
  </w:style>
  <w:style w:type="paragraph" w:styleId="828">
    <w:name w:val="toc 3"/>
    <w:basedOn w:val="652"/>
    <w:next w:val="652"/>
    <w:uiPriority w:val="39"/>
    <w:unhideWhenUsed/>
    <w:pPr>
      <w:ind w:left="567" w:firstLine="0"/>
      <w:spacing w:after="57"/>
    </w:pPr>
  </w:style>
  <w:style w:type="paragraph" w:styleId="829">
    <w:name w:val="toc 4"/>
    <w:basedOn w:val="652"/>
    <w:next w:val="652"/>
    <w:uiPriority w:val="39"/>
    <w:unhideWhenUsed/>
    <w:pPr>
      <w:ind w:left="850" w:firstLine="0"/>
      <w:spacing w:after="57"/>
    </w:pPr>
  </w:style>
  <w:style w:type="paragraph" w:styleId="830">
    <w:name w:val="toc 5"/>
    <w:basedOn w:val="652"/>
    <w:next w:val="652"/>
    <w:uiPriority w:val="39"/>
    <w:unhideWhenUsed/>
    <w:pPr>
      <w:ind w:left="1134" w:firstLine="0"/>
      <w:spacing w:after="57"/>
    </w:pPr>
  </w:style>
  <w:style w:type="paragraph" w:styleId="831">
    <w:name w:val="toc 6"/>
    <w:basedOn w:val="652"/>
    <w:next w:val="652"/>
    <w:uiPriority w:val="39"/>
    <w:unhideWhenUsed/>
    <w:pPr>
      <w:ind w:left="1417" w:firstLine="0"/>
      <w:spacing w:after="57"/>
    </w:pPr>
  </w:style>
  <w:style w:type="paragraph" w:styleId="832">
    <w:name w:val="toc 7"/>
    <w:basedOn w:val="652"/>
    <w:next w:val="652"/>
    <w:uiPriority w:val="39"/>
    <w:unhideWhenUsed/>
    <w:pPr>
      <w:ind w:left="1701" w:firstLine="0"/>
      <w:spacing w:after="57"/>
    </w:pPr>
  </w:style>
  <w:style w:type="paragraph" w:styleId="833">
    <w:name w:val="toc 8"/>
    <w:basedOn w:val="652"/>
    <w:next w:val="652"/>
    <w:uiPriority w:val="39"/>
    <w:unhideWhenUsed/>
    <w:pPr>
      <w:ind w:left="1984" w:firstLine="0"/>
      <w:spacing w:after="57"/>
    </w:pPr>
  </w:style>
  <w:style w:type="paragraph" w:styleId="834">
    <w:name w:val="toc 9"/>
    <w:basedOn w:val="652"/>
    <w:next w:val="652"/>
    <w:uiPriority w:val="39"/>
    <w:unhideWhenUsed/>
    <w:pPr>
      <w:ind w:left="2268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Balloon Text"/>
    <w:basedOn w:val="652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662"/>
    <w:link w:val="836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8</cp:revision>
  <dcterms:created xsi:type="dcterms:W3CDTF">2021-11-01T07:03:00Z</dcterms:created>
  <dcterms:modified xsi:type="dcterms:W3CDTF">2022-02-17T07:16:48Z</dcterms:modified>
</cp:coreProperties>
</file>