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94598988"/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6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03 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</w:t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80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5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5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передачу в оперативне управління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КНП «Менський центр ПМСД»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нерухомого майна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5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ind w:right="-170" w:firstLine="567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забезпечення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належного функціонування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Макошинської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Style w:val="921"/>
          <w:rFonts w:ascii="Times New Roman" w:hAnsi="Times New Roman" w:cs="Times New Roman" w:eastAsia="Times New Roman"/>
          <w:color w:val="000000"/>
          <w:sz w:val="28"/>
          <w:szCs w:val="28"/>
        </w:rPr>
        <w:t xml:space="preserve">лікарської амбулаторії загальної практики-сімейної медицини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</w:t>
      </w:r>
      <w:r>
        <w:rPr>
          <w:rStyle w:val="921"/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Порядку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передачі майна, що є комунальною власністю Менської міської територіальної громади виконавчим органам ради, комунальним підприємствам, установам,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закладам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правах господарського відання або оперативного управління, затвердженого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скликання від </w:t>
      </w:r>
      <w:r>
        <w:rPr>
          <w:rFonts w:ascii="Times New Roman" w:hAnsi="Times New Roman" w:cs="Times New Roman" w:eastAsia="Times New Roman"/>
          <w:color w:val="00000A"/>
          <w:sz w:val="28"/>
          <w:szCs w:val="28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  <w:szCs w:val="28"/>
        </w:rPr>
        <w:t xml:space="preserve"> 396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rPr>
          <w:rFonts w:ascii="Times New Roman" w:hAnsi="Times New Roman" w:cs="Times New Roman" w:eastAsia="Times New Roman"/>
          <w:bCs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numPr>
          <w:ilvl w:val="0"/>
          <w:numId w:val="4"/>
        </w:numPr>
        <w:ind w:firstLine="567"/>
        <w:tabs>
          <w:tab w:val="left" w:pos="993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Припинити право оперативного управління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Комунального некомерційного підприємства «Менська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міська лікарня»  Менської міської ради на громадський будинок з господарськими (допоміжними) будівлями та спорудами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адресою: вулиця Зарічна, 11, смт. Макошине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складі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numPr>
          <w:ilvl w:val="0"/>
          <w:numId w:val="5"/>
        </w:numPr>
        <w:ind w:left="567" w:firstLine="0"/>
        <w:tabs>
          <w:tab w:val="left" w:pos="993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будівля лікувальн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ого корпусу А-1 – 823,7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кв.м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numPr>
          <w:ilvl w:val="0"/>
          <w:numId w:val="5"/>
        </w:numPr>
        <w:ind w:left="567" w:firstLine="0"/>
        <w:tabs>
          <w:tab w:val="left" w:pos="993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господарська будівля Б-1 – 49,1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кв.м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numPr>
          <w:ilvl w:val="0"/>
          <w:numId w:val="5"/>
        </w:numPr>
        <w:ind w:left="567" w:firstLine="0"/>
        <w:tabs>
          <w:tab w:val="left" w:pos="993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господарська будівля для палива № 2 В-1 – 87,0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кв.м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numPr>
          <w:ilvl w:val="0"/>
          <w:numId w:val="5"/>
        </w:numPr>
        <w:ind w:left="567" w:firstLine="0"/>
        <w:tabs>
          <w:tab w:val="left" w:pos="993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будівля кухні Г-1, Г1-1, г-1 – 121,1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кв.м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.;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numPr>
          <w:ilvl w:val="0"/>
          <w:numId w:val="5"/>
        </w:numPr>
        <w:ind w:left="567" w:firstLine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  <w:t xml:space="preserve"> теплогенератор м</w:t>
      </w: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  <w:t xml:space="preserve">одульний ТМ-200.</w:t>
      </w: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ind w:left="0" w:firstLine="567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  <w:t xml:space="preserve">Генеральному директору КНП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  <w:t xml:space="preserve"> Г.І.Разновану передати Менській міській раді наявну технічну та проектну документацію, виготовлену щодо вказаного майна.</w:t>
      </w: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0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ередати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оперативне управління Комунальн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некомерційному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підприємству «Менський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первинної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медико-санітарної допомоги»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нерухоме майно, що перебуває у комунальній власності Менської міської територіальної громади - частину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громадського будинку з допоміжною спорудою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 адресою: вулиця Зарічна, 11, смт. Макошине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району Чернігівської області,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 складі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numPr>
          <w:ilvl w:val="0"/>
          <w:numId w:val="5"/>
        </w:numPr>
        <w:ind w:left="567" w:firstLine="0"/>
        <w:tabs>
          <w:tab w:val="left" w:pos="993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  <w:t xml:space="preserve">части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на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будівлі лікувального корпусу А-1 – 222,1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кв.м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.;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918"/>
        <w:numPr>
          <w:ilvl w:val="0"/>
          <w:numId w:val="5"/>
        </w:numPr>
        <w:ind w:left="567" w:firstLine="0"/>
        <w:tabs>
          <w:tab w:val="left" w:pos="993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теплоге</w:t>
      </w:r>
      <w:r>
        <w:rPr>
          <w:rFonts w:ascii="Times New Roman" w:hAnsi="Times New Roman" w:cs="Times New Roman" w:eastAsia="Times New Roman"/>
          <w:bCs/>
          <w:color w:val="000000"/>
          <w:sz w:val="28"/>
          <w:highlight w:val="none"/>
        </w:rPr>
        <w:t xml:space="preserve">нератор модульний ТМ-200 (з наявною технічною документацією та залишками палива на момент передачі).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Приймання-передачу майна здійснити комісі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як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створю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ться наказом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генерального директора КНП «Менська міська лікарня»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Доручити міському голові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Г.А.</w:t>
      </w:r>
      <w:r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Примакову: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затвердити акти приймання-передачі майна;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укласти договір на закріплення майна, зазначеного 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пункті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рішення, на праві оперативного управління за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КНП «Менський центр ПМСД»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укласти додаткову угоду про припинення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договору на закріплення майна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вказаного в пункті 1 рішення,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праві оперативного управління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КНП «Менська міська лікарня».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0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виконанням рішення покласти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bookmarkStart w:id="2" w:name="_GoBack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постійні комісії міської ради з питань плануван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ня, фінансів, бюджету, соціально-економічного розвитку, житлово-комунального госпо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О.Л. Неберу.</w:t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707" w:bottom="993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fldSimple w:instr="PAGE \* MERGEFORMAT">
      <w:r>
        <w:t xml:space="preserve">1</w:t>
      </w:r>
    </w:fldSimple>
    <w:r/>
    <w:r/>
  </w:p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731"/>
    <w:next w:val="731"/>
    <w:link w:val="7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731"/>
    <w:next w:val="731"/>
    <w:link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basedOn w:val="731"/>
    <w:next w:val="731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basedOn w:val="731"/>
    <w:next w:val="731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basedOn w:val="731"/>
    <w:next w:val="731"/>
    <w:link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basedOn w:val="731"/>
    <w:next w:val="731"/>
    <w:link w:val="7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0">
    <w:name w:val="Heading 7"/>
    <w:basedOn w:val="731"/>
    <w:next w:val="731"/>
    <w:link w:val="7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1">
    <w:name w:val="Heading 8"/>
    <w:basedOn w:val="731"/>
    <w:next w:val="731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2">
    <w:name w:val="Heading 9"/>
    <w:basedOn w:val="731"/>
    <w:next w:val="731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Title Char"/>
    <w:basedOn w:val="732"/>
    <w:link w:val="755"/>
    <w:uiPriority w:val="10"/>
    <w:rPr>
      <w:sz w:val="48"/>
      <w:szCs w:val="48"/>
    </w:rPr>
  </w:style>
  <w:style w:type="character" w:styleId="704">
    <w:name w:val="Subtitle Char"/>
    <w:basedOn w:val="732"/>
    <w:link w:val="757"/>
    <w:uiPriority w:val="11"/>
    <w:rPr>
      <w:sz w:val="24"/>
      <w:szCs w:val="24"/>
    </w:rPr>
  </w:style>
  <w:style w:type="character" w:styleId="705">
    <w:name w:val="Quote Char"/>
    <w:link w:val="759"/>
    <w:uiPriority w:val="29"/>
    <w:rPr>
      <w:i/>
    </w:rPr>
  </w:style>
  <w:style w:type="character" w:styleId="706">
    <w:name w:val="Intense Quote Char"/>
    <w:link w:val="761"/>
    <w:uiPriority w:val="30"/>
    <w:rPr>
      <w:i/>
    </w:rPr>
  </w:style>
  <w:style w:type="paragraph" w:styleId="707">
    <w:name w:val="Header"/>
    <w:basedOn w:val="731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>
    <w:name w:val="Footer"/>
    <w:basedOn w:val="731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>
    <w:name w:val="Caption"/>
    <w:basedOn w:val="731"/>
    <w:next w:val="7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0">
    <w:name w:val="Plain Table 1"/>
    <w:basedOn w:val="7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4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8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29">
    <w:name w:val="Footnote Text Char"/>
    <w:link w:val="896"/>
    <w:uiPriority w:val="99"/>
    <w:rPr>
      <w:sz w:val="18"/>
    </w:rPr>
  </w:style>
  <w:style w:type="character" w:styleId="730">
    <w:name w:val="Endnote Text Char"/>
    <w:link w:val="899"/>
    <w:uiPriority w:val="99"/>
    <w:rPr>
      <w:sz w:val="20"/>
    </w:rPr>
  </w:style>
  <w:style w:type="paragraph" w:styleId="731" w:default="1">
    <w:name w:val="Normal"/>
    <w:qFormat/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paragraph" w:styleId="735" w:customStyle="1">
    <w:name w:val="Заголовок 11"/>
    <w:link w:val="7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6" w:customStyle="1">
    <w:name w:val="Heading 1 Char"/>
    <w:link w:val="735"/>
    <w:uiPriority w:val="9"/>
    <w:rPr>
      <w:rFonts w:ascii="Arial" w:hAnsi="Arial" w:cs="Arial" w:eastAsia="Arial"/>
      <w:sz w:val="40"/>
      <w:szCs w:val="40"/>
    </w:rPr>
  </w:style>
  <w:style w:type="paragraph" w:styleId="737" w:customStyle="1">
    <w:name w:val="Заголовок 21"/>
    <w:link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8" w:customStyle="1">
    <w:name w:val="Heading 2 Char"/>
    <w:link w:val="737"/>
    <w:uiPriority w:val="9"/>
    <w:rPr>
      <w:rFonts w:ascii="Arial" w:hAnsi="Arial" w:cs="Arial" w:eastAsia="Arial"/>
      <w:sz w:val="34"/>
    </w:rPr>
  </w:style>
  <w:style w:type="paragraph" w:styleId="739" w:customStyle="1">
    <w:name w:val="Заголовок 31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0" w:customStyle="1">
    <w:name w:val="Heading 3 Char"/>
    <w:link w:val="739"/>
    <w:uiPriority w:val="9"/>
    <w:rPr>
      <w:rFonts w:ascii="Arial" w:hAnsi="Arial" w:cs="Arial" w:eastAsia="Arial"/>
      <w:sz w:val="30"/>
      <w:szCs w:val="30"/>
    </w:rPr>
  </w:style>
  <w:style w:type="paragraph" w:styleId="741" w:customStyle="1">
    <w:name w:val="Заголовок 41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2" w:customStyle="1">
    <w:name w:val="Heading 4 Char"/>
    <w:link w:val="741"/>
    <w:uiPriority w:val="9"/>
    <w:rPr>
      <w:rFonts w:ascii="Arial" w:hAnsi="Arial" w:cs="Arial" w:eastAsia="Arial"/>
      <w:b/>
      <w:bCs/>
      <w:sz w:val="26"/>
      <w:szCs w:val="26"/>
    </w:rPr>
  </w:style>
  <w:style w:type="paragraph" w:styleId="743" w:customStyle="1">
    <w:name w:val="Заголовок 51"/>
    <w:link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4" w:customStyle="1">
    <w:name w:val="Heading 5 Char"/>
    <w:link w:val="743"/>
    <w:uiPriority w:val="9"/>
    <w:rPr>
      <w:rFonts w:ascii="Arial" w:hAnsi="Arial" w:cs="Arial" w:eastAsia="Arial"/>
      <w:b/>
      <w:bCs/>
      <w:sz w:val="24"/>
      <w:szCs w:val="24"/>
    </w:rPr>
  </w:style>
  <w:style w:type="paragraph" w:styleId="745" w:customStyle="1">
    <w:name w:val="Заголовок 61"/>
    <w:link w:val="7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6" w:customStyle="1">
    <w:name w:val="Heading 6 Char"/>
    <w:link w:val="745"/>
    <w:uiPriority w:val="9"/>
    <w:rPr>
      <w:rFonts w:ascii="Arial" w:hAnsi="Arial" w:cs="Arial" w:eastAsia="Arial"/>
      <w:b/>
      <w:bCs/>
      <w:sz w:val="22"/>
      <w:szCs w:val="22"/>
    </w:rPr>
  </w:style>
  <w:style w:type="paragraph" w:styleId="747" w:customStyle="1">
    <w:name w:val="Заголовок 71"/>
    <w:link w:val="7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8" w:customStyle="1">
    <w:name w:val="Heading 7 Char"/>
    <w:link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9" w:customStyle="1">
    <w:name w:val="Заголовок 81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0" w:customStyle="1">
    <w:name w:val="Heading 8 Char"/>
    <w:link w:val="749"/>
    <w:uiPriority w:val="9"/>
    <w:rPr>
      <w:rFonts w:ascii="Arial" w:hAnsi="Arial" w:cs="Arial" w:eastAsia="Arial"/>
      <w:i/>
      <w:iCs/>
      <w:sz w:val="22"/>
      <w:szCs w:val="22"/>
    </w:rPr>
  </w:style>
  <w:style w:type="paragraph" w:styleId="751" w:customStyle="1">
    <w:name w:val="Заголовок 91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2" w:customStyle="1">
    <w:name w:val="Heading 9 Char"/>
    <w:link w:val="751"/>
    <w:uiPriority w:val="9"/>
    <w:rPr>
      <w:rFonts w:ascii="Arial" w:hAnsi="Arial" w:cs="Arial" w:eastAsia="Arial"/>
      <w:i/>
      <w:iCs/>
      <w:sz w:val="21"/>
      <w:szCs w:val="21"/>
    </w:rPr>
  </w:style>
  <w:style w:type="paragraph" w:styleId="753">
    <w:name w:val="List Paragraph"/>
    <w:basedOn w:val="731"/>
    <w:rPr>
      <w:rFonts w:ascii="Times New Roman" w:hAnsi="Times New Roman" w:eastAsia="Times New Roman"/>
      <w:lang w:val="uk-UA"/>
    </w:rPr>
    <w:pPr>
      <w:ind w:left="720"/>
    </w:pPr>
  </w:style>
  <w:style w:type="paragraph" w:styleId="754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5">
    <w:name w:val="Title"/>
    <w:link w:val="7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6" w:customStyle="1">
    <w:name w:val="Назва Знак"/>
    <w:link w:val="755"/>
    <w:uiPriority w:val="10"/>
    <w:rPr>
      <w:sz w:val="48"/>
      <w:szCs w:val="48"/>
    </w:rPr>
  </w:style>
  <w:style w:type="paragraph" w:styleId="757">
    <w:name w:val="Subtitle"/>
    <w:link w:val="758"/>
    <w:qFormat/>
    <w:uiPriority w:val="11"/>
    <w:rPr>
      <w:sz w:val="24"/>
      <w:szCs w:val="24"/>
    </w:rPr>
    <w:pPr>
      <w:spacing w:after="200" w:before="200"/>
    </w:pPr>
  </w:style>
  <w:style w:type="character" w:styleId="758" w:customStyle="1">
    <w:name w:val="Підзаголовок Знак"/>
    <w:link w:val="757"/>
    <w:uiPriority w:val="11"/>
    <w:rPr>
      <w:sz w:val="24"/>
      <w:szCs w:val="24"/>
    </w:rPr>
  </w:style>
  <w:style w:type="paragraph" w:styleId="759">
    <w:name w:val="Quote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Знак"/>
    <w:link w:val="759"/>
    <w:uiPriority w:val="29"/>
    <w:rPr>
      <w:i/>
    </w:rPr>
  </w:style>
  <w:style w:type="paragraph" w:styleId="761">
    <w:name w:val="Intense Quote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Насичена цитата Знак"/>
    <w:link w:val="761"/>
    <w:uiPriority w:val="30"/>
    <w:rPr>
      <w:i/>
    </w:rPr>
  </w:style>
  <w:style w:type="paragraph" w:styleId="763" w:customStyle="1">
    <w:name w:val="Верх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4" w:customStyle="1">
    <w:name w:val="Header Char"/>
    <w:link w:val="763"/>
    <w:uiPriority w:val="99"/>
  </w:style>
  <w:style w:type="paragraph" w:styleId="765" w:customStyle="1">
    <w:name w:val="Нижній колонтитул1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uiPriority w:val="99"/>
  </w:style>
  <w:style w:type="paragraph" w:styleId="767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8" w:customStyle="1">
    <w:name w:val="Caption Char"/>
    <w:link w:val="765"/>
    <w:uiPriority w:val="99"/>
  </w:style>
  <w:style w:type="table" w:styleId="76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link w:val="897"/>
    <w:uiPriority w:val="99"/>
    <w:semiHidden/>
    <w:unhideWhenUsed/>
    <w:rPr>
      <w:sz w:val="18"/>
    </w:rPr>
    <w:pPr>
      <w:spacing w:after="40"/>
    </w:pPr>
  </w:style>
  <w:style w:type="character" w:styleId="897" w:customStyle="1">
    <w:name w:val="Текст виноски Знак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endnote text"/>
    <w:link w:val="900"/>
    <w:uiPriority w:val="99"/>
    <w:semiHidden/>
    <w:unhideWhenUsed/>
  </w:style>
  <w:style w:type="character" w:styleId="900" w:customStyle="1">
    <w:name w:val="Текст кінцевої виноски Знак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uiPriority w:val="39"/>
    <w:unhideWhenUsed/>
    <w:pPr>
      <w:spacing w:after="57"/>
    </w:pPr>
  </w:style>
  <w:style w:type="paragraph" w:styleId="903">
    <w:name w:val="toc 2"/>
    <w:uiPriority w:val="39"/>
    <w:unhideWhenUsed/>
    <w:pPr>
      <w:ind w:left="283"/>
      <w:spacing w:after="57"/>
    </w:pPr>
  </w:style>
  <w:style w:type="paragraph" w:styleId="904">
    <w:name w:val="toc 3"/>
    <w:uiPriority w:val="39"/>
    <w:unhideWhenUsed/>
    <w:pPr>
      <w:ind w:left="567"/>
      <w:spacing w:after="57"/>
    </w:pPr>
  </w:style>
  <w:style w:type="paragraph" w:styleId="905">
    <w:name w:val="toc 4"/>
    <w:uiPriority w:val="39"/>
    <w:unhideWhenUsed/>
    <w:pPr>
      <w:ind w:left="850"/>
      <w:spacing w:after="57"/>
    </w:pPr>
  </w:style>
  <w:style w:type="paragraph" w:styleId="906">
    <w:name w:val="toc 5"/>
    <w:uiPriority w:val="39"/>
    <w:unhideWhenUsed/>
    <w:pPr>
      <w:ind w:left="1134"/>
      <w:spacing w:after="57"/>
    </w:pPr>
  </w:style>
  <w:style w:type="paragraph" w:styleId="907">
    <w:name w:val="toc 6"/>
    <w:uiPriority w:val="39"/>
    <w:unhideWhenUsed/>
    <w:pPr>
      <w:ind w:left="1417"/>
      <w:spacing w:after="57"/>
    </w:pPr>
  </w:style>
  <w:style w:type="paragraph" w:styleId="908">
    <w:name w:val="toc 7"/>
    <w:uiPriority w:val="39"/>
    <w:unhideWhenUsed/>
    <w:pPr>
      <w:ind w:left="1701"/>
      <w:spacing w:after="57"/>
    </w:pPr>
  </w:style>
  <w:style w:type="paragraph" w:styleId="909">
    <w:name w:val="toc 8"/>
    <w:uiPriority w:val="39"/>
    <w:unhideWhenUsed/>
    <w:pPr>
      <w:ind w:left="1984"/>
      <w:spacing w:after="57"/>
    </w:pPr>
  </w:style>
  <w:style w:type="paragraph" w:styleId="910">
    <w:name w:val="toc 9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uiPriority w:val="99"/>
    <w:unhideWhenUsed/>
  </w:style>
  <w:style w:type="paragraph" w:styleId="913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>
    <w:name w:val="Balloon Text"/>
    <w:basedOn w:val="731"/>
    <w:link w:val="915"/>
    <w:semiHidden/>
    <w:rPr>
      <w:rFonts w:ascii="Tahoma" w:hAnsi="Tahoma"/>
      <w:sz w:val="16"/>
      <w:szCs w:val="16"/>
    </w:rPr>
  </w:style>
  <w:style w:type="character" w:styleId="915" w:customStyle="1">
    <w:name w:val="Текст у виносці Знак"/>
    <w:basedOn w:val="732"/>
    <w:link w:val="914"/>
    <w:semiHidden/>
    <w:rPr>
      <w:rFonts w:ascii="Tahoma" w:hAnsi="Tahoma" w:eastAsia="Calibri"/>
      <w:sz w:val="16"/>
      <w:szCs w:val="16"/>
      <w:lang w:bidi="en-US"/>
    </w:rPr>
  </w:style>
  <w:style w:type="paragraph" w:styleId="916">
    <w:name w:val="Normal (Web)"/>
    <w:basedOn w:val="731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7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18" w:customStyle="1">
    <w:name w:val="Основной текст1"/>
    <w:basedOn w:val="731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19" w:customStyle="1">
    <w:name w:val="Абзац списка"/>
    <w:basedOn w:val="731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20" w:customStyle="1">
    <w:name w:val="Обычный (веб)1"/>
    <w:basedOn w:val="73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21" w:customStyle="1">
    <w:name w:val="docy"/>
    <w:basedOn w:val="73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20</cp:revision>
  <dcterms:created xsi:type="dcterms:W3CDTF">2022-01-27T08:39:00Z</dcterms:created>
  <dcterms:modified xsi:type="dcterms:W3CDTF">2022-02-04T07:18:26Z</dcterms:modified>
</cp:coreProperties>
</file>