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ru-RU"/>
        </w:rPr>
      </w:r>
      <w:r>
        <w:rPr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5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15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15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15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15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15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15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03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лютого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202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 № </w:t>
      </w:r>
      <w:r>
        <w:rPr>
          <w:rFonts w:eastAsia="Lucida Sans Unicode"/>
          <w:color w:val="000000"/>
          <w:sz w:val="28"/>
          <w:szCs w:val="28"/>
          <w:lang w:val="uk-UA"/>
        </w:rPr>
        <w:t xml:space="preserve">29</w:t>
      </w:r>
      <w:r/>
    </w:p>
    <w:p>
      <w:pPr>
        <w:ind w:right="4961"/>
        <w:jc w:val="both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  <w:t xml:space="preserve">Про погодження програми «Регулювання чисельності безпритульних тварин у Менській міській територіальній громаді на 2022-2024 </w:t>
      </w:r>
      <w:r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  <w:t xml:space="preserve">роки</w:t>
      </w:r>
      <w:r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  <w:t xml:space="preserve">»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</w:r>
      <w:r/>
    </w:p>
    <w:p>
      <w:pPr>
        <w:pStyle w:val="818"/>
        <w:ind w:firstLine="708"/>
        <w:jc w:val="both"/>
        <w:rPr>
          <w:rStyle w:val="819"/>
          <w:rFonts w:eastAsia="Calibri"/>
          <w:sz w:val="28"/>
          <w:szCs w:val="28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Керуючись пунктом 1 частини другої статті 52 Закону України «Про місцеве самоврядування в Україні»,</w:t>
      </w:r>
      <w:r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«Про захист тварин від жорстокого поводження», «Про ветеринарну медицину»</w:t>
      </w:r>
      <w:r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,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 метою зменшення кількості безпритульних тварин (собак)  на території  Менської міської територ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іальної громади, на основі гуманного та відповідального ставлення до них, вжиття заходів щодо охорони тваринного світу і створення більш комфортних умов для життя людей, недопущення погіршення епізоотичного та епідеміологічного стану територіальної громади</w:t>
      </w:r>
      <w:r>
        <w:rPr>
          <w:rFonts w:ascii="Times New Roman" w:hAnsi="Times New Roman" w:eastAsia="Batang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Style w:val="819"/>
          <w:rFonts w:eastAsia="Calibri"/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81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ВИРІШИВ: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1.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Погодити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проє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кт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П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рограми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«Регулювання чисельності безпритульних тварин у Менській міській територіальній громаді на 2022-2024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роки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до даного рішення (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додається).</w:t>
      </w:r>
      <w:r/>
    </w:p>
    <w:p>
      <w:pPr>
        <w:jc w:val="both"/>
        <w:tabs>
          <w:tab w:val="left" w:pos="6946" w:leader="none"/>
        </w:tabs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       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2.Подати на сесію Менської міської ради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рограми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«Регулювання чисельності безпритульних тварин у Менській міській територіальній громаді на 2022-2024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роки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розгляду та затвердження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3.Контроль за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виконанням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даного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ішення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покласти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на заступника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міського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голови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з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питань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діяльност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і виконавчих органів ради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Гнипа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 В. І.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голова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Геннадій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ПРИМАКОВ</w:t>
      </w:r>
      <w:r/>
    </w:p>
    <w:p>
      <w:pPr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Times New Roman" w:eastAsia="Calibri"/>
      <w:sz w:val="20"/>
      <w:szCs w:val="20"/>
      <w:lang w:eastAsia="zh-CN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Обычный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Tahoma" w:hAnsi="Tahoma" w:cs="Tahoma" w:eastAsia="Calibri"/>
      <w:sz w:val="16"/>
      <w:szCs w:val="16"/>
      <w:lang w:eastAsia="zh-CN"/>
    </w:rPr>
  </w:style>
  <w:style w:type="paragraph" w:styleId="818">
    <w:name w:val="No Spacing"/>
    <w:rPr>
      <w:rFonts w:ascii="Calibri" w:hAnsi="Calibri" w:cs="Times New Roman" w:eastAsia="Calibri"/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9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lang w:val="uk-UA" w:bidi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14</cp:revision>
  <dcterms:created xsi:type="dcterms:W3CDTF">2022-01-28T13:48:00Z</dcterms:created>
  <dcterms:modified xsi:type="dcterms:W3CDTF">2022-02-09T16:03:19Z</dcterms:modified>
</cp:coreProperties>
</file>