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0" w:right="0" w:firstLine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0" w:name="_Hlk9286940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1 </w:t>
      </w:r>
      <w:bookmarkEnd w:id="0"/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0" w:right="0" w:firstLine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16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0" w:right="0" w:firstLine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0" w:right="0" w:firstLine="5669"/>
        <w:jc w:val="both"/>
        <w:spacing w:lineRule="auto" w:line="240" w:after="0" w:afterAutospacing="0" w:before="0" w:beforeAutospacing="0"/>
        <w:tabs>
          <w:tab w:val="left" w:pos="5311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2022 року №10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right"/>
        <w:spacing w:lineRule="auto" w:line="240" w:after="0" w:afterAutospacing="0" w:before="0" w:beforeAutospacing="0"/>
        <w:tabs>
          <w:tab w:val="left" w:pos="5311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" w:name="_Hlk18513206"/>
      <w:r>
        <w:rPr>
          <w:rFonts w:ascii="Times New Roman" w:hAnsi="Times New Roman" w:cs="Times New Roman" w:eastAsia="Times New Roman"/>
          <w:sz w:val="28"/>
          <w:lang w:val="uk-UA"/>
        </w:rPr>
      </w:r>
      <w:bookmarkEnd w:id="1"/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354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надання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КУ 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центр 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)»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1.Загальні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визначає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КУ 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соціального обслуговування (надання соціальних послуг)»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ради.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центр).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1.2. Дане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розроблено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вимог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».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Постанов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01.06.2020 № 428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регулювання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29.12.2009 № 1417 «Деякі питання діяльності територіальних центрів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іального обслуговування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01.06.2020 № 429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установлення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диференційованої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плати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07.02.2015р. №1186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методичних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рекомендацій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Наказів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наказу МСПУ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16.06.2021 №335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стандарту догляду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»;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наказу МСПУ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25.03.2021 № 147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Державного стандарту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натуральна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наказу МСПУ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18.05.2015 №514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Державного стандарту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адартації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наказу МСПУ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12.07.2016 №753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Типового штатного нормативу чисельності працівників територіальних центрів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іального обслуговування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соціальних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)».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23.04.2021р. № 180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29.06.2021р. № 165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становлять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bookmarkStart w:id="2" w:name="_Hlk1227805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перебування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адресної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натуральної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грошової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складних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життєвих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обставинах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сторонньої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2.Порядок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Територіальним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центром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жителям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працівниками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письмової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заяви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сім’ї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збору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документів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установлені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строки,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пропозиції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поданих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заяв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комісію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створену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виконавчим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комітетом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розгляду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взяття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зняття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відмову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приймається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засіданні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виконкому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ради, шляхом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відмови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Потім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визначає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індивідуальні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потреби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отримувача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індивідуальний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план,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договір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відділенням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особа, яка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потребує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віком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станом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здоров’я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неспроможна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самостійно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прийняти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необхідність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таке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може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опікун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піклувальник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23.04.2021р. № 180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ради»;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безоплатно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отримують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центрі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бажання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отримати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понад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обсяги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визначені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стандартами.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2.3.Територіальний центр,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маючи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отримання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прибутку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2.4.Територіальний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(в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наявних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2.5.Територіальний центр 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потребують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цілодобового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стороннього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догляду.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2.6.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проводить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інформаційно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роз’яснювальну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роботу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серед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умов та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аналіз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3.Порядок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встановлення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тарифів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іальні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плати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визначається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Тарифи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розраховуються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комунальною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 </w:t>
      </w:r>
      <w:bookmarkStart w:id="3" w:name="_Hlk1504985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01.06.2020р. № 428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порядку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регулювання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тарифів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визначаються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ради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засновниками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раз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проводиться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Методичних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рекомендацій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центром,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наказом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07.12.2015 № 1186.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3.3.Тариф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перераховується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разі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зміни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обсягу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окремих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складових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економічно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обгрунтованих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зокрема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собівартості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тощо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3.4.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розрахунку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наступні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дані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прямі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урахуванням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матеріальної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допомоги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оздоровлення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компенсаційних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виплат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відпусток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невідпрацьованого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часу,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єдиний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внесок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загальнообов’язкове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матеріальні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товарів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прямі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знос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необоротні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активи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);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оплату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праці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єдиний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внесок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загальнообов’язкове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державне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господарського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обслуговуючого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персоналу;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придбання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товарів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(у тому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числі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предмети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матеріали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обладнання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інвентар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роботи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комунальні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енергоносії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зв’язок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поштові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телеграфні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телефонні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факс,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Інтернет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тощо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відрядження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ремонт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обслуговування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обладнання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амортизація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основних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засобів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нематеріальних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активів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адміністративного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призначення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4.Планування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використання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доходів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в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ід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 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32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4.1.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Кошти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надходять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п. 4 ст. 13 Бюджетного кодексу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покриття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витрат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пов’язаних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організацією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надаються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бюджетними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установами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основною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діяльністю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Територіальний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центр, при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веде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статистичний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звіт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бухгалтерський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складає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звітність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цим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видом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діяльності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до чинного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законодавства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4.3.Оплата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здійснюється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отримувачем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дорученням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відповідальною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особою)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облікової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відомості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наданню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Оплата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платну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іальну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послугу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готівкою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касу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робіт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оприбутковується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касою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Територіального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центру,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розрахунковий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банку.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коштів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можливе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лише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ісля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зарахування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поточний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установі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уповноваженого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банку.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contextualSpacing w:val="true"/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868"/>
        <w:contextualSpacing w:val="true"/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t xml:space="preserve">Начальник відділу соціального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contextualSpacing w:val="true"/>
        <w:ind w:lef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t xml:space="preserve">захисту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t xml:space="preserve">населення, сім’ї, молоді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pStyle w:val="868"/>
        <w:contextualSpacing w:val="true"/>
        <w:ind w:left="0" w:firstLine="0"/>
        <w:jc w:val="both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  <w:t xml:space="preserve">та охорони здоров’я</w:t>
        <w:tab/>
        <w:t xml:space="preserve">Марина МОСКАЛЬЧУК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right"/>
      <w:tabs>
        <w:tab w:val="left" w:pos="2551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t xml:space="preserve">1</w:t>
      </w:r>
    </w:fldSimple>
    <w:r/>
    <w: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>
    <w:name w:val="Heading 1 Char"/>
    <w:basedOn w:val="864"/>
    <w:link w:val="685"/>
    <w:uiPriority w:val="9"/>
    <w:rPr>
      <w:rFonts w:ascii="Arial" w:hAnsi="Arial" w:cs="Arial" w:eastAsia="Arial"/>
      <w:sz w:val="40"/>
      <w:szCs w:val="40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>
    <w:name w:val="Heading 2 Char"/>
    <w:basedOn w:val="864"/>
    <w:link w:val="687"/>
    <w:uiPriority w:val="9"/>
    <w:rPr>
      <w:rFonts w:ascii="Arial" w:hAnsi="Arial" w:cs="Arial" w:eastAsia="Arial"/>
      <w:sz w:val="34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>
    <w:name w:val="Heading 3 Char"/>
    <w:basedOn w:val="864"/>
    <w:link w:val="689"/>
    <w:uiPriority w:val="9"/>
    <w:rPr>
      <w:rFonts w:ascii="Arial" w:hAnsi="Arial" w:cs="Arial" w:eastAsia="Arial"/>
      <w:sz w:val="30"/>
      <w:szCs w:val="30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 w:before="0"/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 w:customStyle="1">
    <w:name w:val="docdata"/>
    <w:basedOn w:val="863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8">
    <w:name w:val="Normal (Web)"/>
    <w:basedOn w:val="86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Жураковська Альона Володимирівна</cp:lastModifiedBy>
  <cp:revision>4</cp:revision>
  <dcterms:created xsi:type="dcterms:W3CDTF">2022-01-19T06:15:00Z</dcterms:created>
  <dcterms:modified xsi:type="dcterms:W3CDTF">2022-01-27T08:26:27Z</dcterms:modified>
</cp:coreProperties>
</file>