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lineRule="auto" w:line="240" w:after="0" w:afterAutospacing="0" w:before="0" w:beforeAutospacing="0"/>
        <w:rPr>
          <w:highlight w:val="none"/>
          <w:lang w:val="ru-RU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913"/>
        <w:jc w:val="center"/>
        <w:spacing w:lineRule="auto" w:line="240"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none"/>
          <w:lang w:val="ru-RU" w:eastAsia="ru-RU"/>
        </w:rPr>
      </w:r>
      <w:r>
        <w:rPr>
          <w:highlight w:val="none"/>
          <w:lang w:val="ru-RU" w:eastAsia="ru-RU"/>
        </w:rPr>
      </w:r>
      <w:r/>
    </w:p>
    <w:p>
      <w:pPr>
        <w:pStyle w:val="913"/>
        <w:jc w:val="center"/>
        <w:spacing w:lineRule="auto" w:line="240" w:after="0" w:afterAutospacing="0" w:before="0" w:beforeAutospacing="0"/>
        <w:rPr>
          <w:rFonts w:ascii="Times New Roman" w:hAnsi="Times New Roman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/>
          <w:lang w:bidi="hi-IN" w:eastAsia="hi-IN"/>
        </w:rPr>
      </w:r>
      <w:r/>
    </w:p>
    <w:p>
      <w:pPr>
        <w:pStyle w:val="929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pStyle w:val="929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(шістнадцята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сесія восьмого скликання) </w:t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pStyle w:val="929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  <w:t xml:space="preserve">РІШЕННЯ</w:t>
      </w:r>
      <w:r>
        <w:rPr>
          <w:rFonts w:ascii="Times New Roman" w:hAnsi="Times New Roman" w:eastAsia="Times New Roman"/>
          <w:b/>
          <w:color w:val="000000"/>
          <w:sz w:val="28"/>
        </w:rPr>
      </w:r>
      <w:r/>
    </w:p>
    <w:p>
      <w:pPr>
        <w:pStyle w:val="929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25 січня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  <w:tab/>
        <w:t xml:space="preserve">м.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  <w:t xml:space="preserve">№06</w:t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/>
        <w:tabs>
          <w:tab w:val="left" w:pos="993" w:leader="none"/>
          <w:tab w:val="left" w:pos="2422" w:leader="none"/>
        </w:tabs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внесення змін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та Порядку реалізації Програми соціальної підтримки жителів Менської міської територіальної громади на 2022 – 2024 роки </w:t>
      </w:r>
      <w:r/>
    </w:p>
    <w:p>
      <w:pPr>
        <w:ind w:right="4535"/>
        <w:keepNext/>
        <w:spacing w:lineRule="auto" w:line="240" w:after="0" w:afterAutospacing="0"/>
        <w:rPr>
          <w:rFonts w:ascii="Times New Roman" w:hAnsi="Times New Roman"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Cs/>
          <w:iCs/>
          <w:sz w:val="28"/>
          <w:szCs w:val="28"/>
          <w:lang w:val="uk-UA" w:eastAsia="uk-UA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належної реалізації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виклики сьогодення,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Закон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spacing w:lineRule="auto" w:line="240" w:after="0" w:afterAutospacing="0"/>
        <w:tabs>
          <w:tab w:val="left" w:pos="993" w:leader="none"/>
          <w:tab w:val="left" w:pos="242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н</w:t>
      </w:r>
      <w:r>
        <w:rPr>
          <w:rFonts w:ascii="Times New Roman" w:hAnsi="Times New Roman"/>
          <w:sz w:val="28"/>
          <w:szCs w:val="28"/>
          <w:lang w:val="uk-UA"/>
        </w:rPr>
        <w:t xml:space="preserve">аступні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рішення Менської міської ради від 09.12.2021 № 813 «Про Програму соціальної підтримки жителів Менської міської територіальної громади на 2022-2024 роки»:</w:t>
      </w:r>
      <w:r/>
    </w:p>
    <w:p>
      <w:pPr>
        <w:ind w:firstLine="567"/>
        <w:jc w:val="both"/>
        <w:spacing w:lineRule="auto" w:line="240" w:after="0" w:afterAutospacing="0"/>
        <w:tabs>
          <w:tab w:val="left" w:pos="993" w:leader="none"/>
          <w:tab w:val="left" w:pos="2422" w:leader="none"/>
        </w:tabs>
        <w:rPr>
          <w:rFonts w:ascii="Times New Roman" w:hAnsi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1) У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Порядку реалізації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Програми соціальної підтримки жителів Менської міської територіальної громади на 2022 – 2024 роки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(додаток 2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до рішення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розділ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7.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Оплата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ритуальних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послуг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наданих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при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похованні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безрідних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бездомних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невідомих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та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осіб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від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поховання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яких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відмовилися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родичі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доповнити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абзацами наступного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змісту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/>
    </w:p>
    <w:p>
      <w:pPr>
        <w:pStyle w:val="928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lang w:val="ru-RU"/>
        </w:rPr>
        <w:t xml:space="preserve">«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організації поховання, ритуальною службою надаються наступні послуги та предмети ритуальної належності:</w:t>
      </w:r>
      <w:r/>
    </w:p>
    <w:p>
      <w:pPr>
        <w:pStyle w:val="928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  <w:t xml:space="preserve">- труна;</w:t>
      </w:r>
      <w:r/>
    </w:p>
    <w:p>
      <w:pPr>
        <w:pStyle w:val="928"/>
        <w:ind w:left="0" w:firstLine="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 - перевезення, перенесення тіла (до моргу, з моргу до місця поховання);</w:t>
      </w:r>
      <w:r>
        <w:rPr>
          <w:sz w:val="28"/>
          <w:szCs w:val="28"/>
          <w:highlight w:val="none"/>
        </w:rPr>
      </w:r>
    </w:p>
    <w:p>
      <w:pPr>
        <w:pStyle w:val="928"/>
        <w:ind w:left="0" w:firstLine="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  <w:t xml:space="preserve">        </w:t>
      </w:r>
      <w:r>
        <w:rPr>
          <w:sz w:val="28"/>
          <w:szCs w:val="28"/>
        </w:rPr>
        <w:t xml:space="preserve">- копання могили (викопування могили ручним або механічним способом, опускання труни з тілом померлого в могилу, закопування могили, формування намогильного насипу);</w:t>
      </w:r>
      <w:r/>
    </w:p>
    <w:p>
      <w:pPr>
        <w:pStyle w:val="928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 хрест з табличкою.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  <w:lang w:val="uk-UA"/>
        </w:rPr>
        <w:tab/>
        <w:t xml:space="preserve">У разі перевезення тіла померлого до місця поховання з іншого населеного пункту</w:t>
      </w:r>
      <w:r>
        <w:rPr>
          <w:rFonts w:ascii="Times New Roman" w:hAnsi="Times New Roman"/>
          <w:sz w:val="28"/>
          <w:lang w:val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вход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ть до території Менської міської територіальної громади, </w:t>
      </w:r>
      <w:r>
        <w:rPr>
          <w:rFonts w:ascii="Times New Roman" w:hAnsi="Times New Roman"/>
          <w:sz w:val="28"/>
          <w:lang w:val="uk-UA"/>
        </w:rPr>
        <w:t xml:space="preserve">оплата наданих ритуальних послуг може бути збільшена до </w:t>
      </w:r>
      <w:r>
        <w:rPr>
          <w:rFonts w:ascii="Times New Roman" w:hAnsi="Times New Roman"/>
          <w:sz w:val="28"/>
          <w:lang w:val="uk-UA"/>
        </w:rPr>
        <w:t xml:space="preserve">65</w:t>
      </w:r>
      <w:r>
        <w:rPr>
          <w:rFonts w:ascii="Times New Roman" w:hAnsi="Times New Roman"/>
          <w:sz w:val="28"/>
          <w:lang w:val="uk-UA"/>
        </w:rPr>
        <w:t xml:space="preserve">00,00 </w:t>
      </w:r>
      <w:r>
        <w:rPr>
          <w:rFonts w:ascii="Times New Roman" w:hAnsi="Times New Roman"/>
          <w:sz w:val="28"/>
          <w:lang w:val="uk-UA"/>
        </w:rPr>
        <w:t xml:space="preserve">грн</w:t>
      </w:r>
      <w:r>
        <w:rPr>
          <w:rFonts w:ascii="Times New Roman" w:hAnsi="Times New Roman"/>
          <w:sz w:val="28"/>
          <w:lang w:val="uk-UA"/>
        </w:rPr>
        <w:t xml:space="preserve"> в залежності від відстані перевезення (із розрахунку 1</w:t>
      </w:r>
      <w:r>
        <w:rPr>
          <w:rFonts w:ascii="Times New Roman" w:hAnsi="Times New Roman"/>
          <w:sz w:val="28"/>
          <w:lang w:val="uk-UA"/>
        </w:rPr>
        <w:t xml:space="preserve">0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грн</w:t>
      </w:r>
      <w:r>
        <w:rPr>
          <w:rFonts w:ascii="Times New Roman" w:hAnsi="Times New Roman"/>
          <w:sz w:val="28"/>
          <w:lang w:val="uk-UA"/>
        </w:rPr>
        <w:t xml:space="preserve"> за 1 км)». </w:t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lang w:val="ru-RU"/>
        </w:rPr>
        <w:t xml:space="preserve">2) </w:t>
      </w:r>
      <w:r>
        <w:rPr>
          <w:rFonts w:ascii="Times New Roman" w:hAnsi="Times New Roman"/>
          <w:sz w:val="28"/>
          <w:lang w:val="ru-RU"/>
        </w:rPr>
        <w:t xml:space="preserve">Позицію</w:t>
      </w:r>
      <w:r>
        <w:rPr>
          <w:rFonts w:ascii="Times New Roman" w:hAnsi="Times New Roman"/>
          <w:sz w:val="28"/>
          <w:lang w:val="ru-RU"/>
        </w:rPr>
        <w:t xml:space="preserve"> 7 </w:t>
      </w:r>
      <w:r>
        <w:rPr>
          <w:rFonts w:ascii="Times New Roman" w:hAnsi="Times New Roman"/>
          <w:sz w:val="28"/>
          <w:lang w:val="ru-RU"/>
        </w:rPr>
        <w:t xml:space="preserve">розділу</w:t>
      </w:r>
      <w:r>
        <w:rPr>
          <w:rFonts w:ascii="Times New Roman" w:hAnsi="Times New Roman"/>
          <w:sz w:val="28"/>
          <w:lang w:val="ru-RU"/>
        </w:rPr>
        <w:t xml:space="preserve"> 7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соц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іальної підтримки жителів Менської міської територіальної громади на 2022 – 2024 роки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додаток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 до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рішення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викласти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наступній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редакції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«Оплата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ритуальних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послуг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похованні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безрідних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бездомних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невідомих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осіб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від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поховання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яких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відмовились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родичі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до 5000,00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окреми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випадках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(при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наявності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витрат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транспортні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послуги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перевезенні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інших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населених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пунктів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які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входять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території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територіальної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громади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– до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65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00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rPr>
          <w:sz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Розділ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5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Порядку реалізації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соц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іальної підтримки жителів Менської міської територіальної громади на 2022 – 2024 роки (додаток 2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до рішення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Надання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одноразової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грошової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допомоги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при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народження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»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викласти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у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наступній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редакції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:</w:t>
      </w:r>
      <w:r/>
    </w:p>
    <w:p>
      <w:pPr>
        <w:ind w:firstLine="567"/>
        <w:jc w:val="both"/>
        <w:spacing w:lineRule="auto" w:line="240" w:after="0" w:afterAutospacing="0"/>
        <w:rPr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Допомога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при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народженні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виплачується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одному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батьків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за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умови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пред’явлення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наступних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документі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: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особиста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заява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про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виплату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одноразової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грошової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допомоги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якій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вказується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ізвище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ім’я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по-батькові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заявника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його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адреса, телефон;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копія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паспорта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або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іншого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документу,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що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посвідчує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особу;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копія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індивідуального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податкового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номера;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копія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св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ідоцтва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про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народження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;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копія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талону 2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обл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ікової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картки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вагітних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(форма 113/0), виданного КНП «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Менська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міська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лікарня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»;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номер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карткового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рахунку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відкритого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установі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банку.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Одноразова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грошова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допомога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при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народженні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виплачується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незалежно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від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місця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реєстрації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батьків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або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одного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них.</w:t>
      </w:r>
      <w:r/>
    </w:p>
    <w:p>
      <w:pPr>
        <w:ind w:firstLine="567"/>
        <w:jc w:val="both"/>
        <w:spacing w:lineRule="auto" w:line="240" w:after="0" w:afterAutospacing="0"/>
        <w:tabs>
          <w:tab w:val="left" w:pos="283" w:leader="none"/>
        </w:tabs>
        <w:rPr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У разі,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якщо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маті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яка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проживає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на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території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Менської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міської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територіальної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громади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народила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іншому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медичному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закладі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грошова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допомога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при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народженні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виплачується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при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пред'явленні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копії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направлення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до такого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медичного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закладу, виданного КНП «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Менська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міська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лікарня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» у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зв'язку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відповідними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медичними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показниками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rPr>
          <w:sz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Грошова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допомога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надається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на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протязі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шести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календарних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місяців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дня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народження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дитини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Виплата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грошової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допомоги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здійснюється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згідно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розпорядження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міського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голови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Позицію</w:t>
      </w:r>
      <w:r>
        <w:rPr>
          <w:rFonts w:ascii="Times New Roman" w:hAnsi="Times New Roman"/>
          <w:sz w:val="28"/>
        </w:rPr>
        <w:t xml:space="preserve"> 5 </w:t>
      </w:r>
      <w:r>
        <w:rPr>
          <w:rFonts w:ascii="Times New Roman" w:hAnsi="Times New Roman"/>
          <w:sz w:val="28"/>
          <w:lang w:val="ru-RU"/>
        </w:rPr>
        <w:t xml:space="preserve">розділу</w:t>
      </w:r>
      <w:r>
        <w:rPr>
          <w:rFonts w:ascii="Times New Roman" w:hAnsi="Times New Roman"/>
          <w:sz w:val="28"/>
        </w:rPr>
        <w:t xml:space="preserve"> 7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соц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іальної підтримки жителів Менської міської територіальної громади на 2022 – 2024 роки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додаток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рішення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викласти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наступній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редакції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«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Надання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грошової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допомоги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народженні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дитини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r/>
    </w:p>
    <w:p>
      <w:pPr>
        <w:pStyle w:val="927"/>
        <w:ind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bCs/>
          <w:sz w:val="28"/>
          <w:szCs w:val="28"/>
        </w:rPr>
        <w:suppressLineNumbers w:val="0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 та </w:t>
      </w:r>
      <w:r>
        <w:rPr>
          <w:sz w:val="28"/>
          <w:szCs w:val="28"/>
        </w:rPr>
        <w:t xml:space="preserve">постійну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комісію з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планування, фінансів, бюджету та соціально-економічного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</w:t>
      </w:r>
      <w:r>
        <w:rPr>
          <w:bCs/>
          <w:sz w:val="28"/>
          <w:szCs w:val="28"/>
        </w:rPr>
        <w:t xml:space="preserve">.</w:t>
      </w:r>
      <w:r/>
    </w:p>
    <w:p>
      <w:pPr>
        <w:pStyle w:val="927"/>
        <w:ind w:firstLine="709"/>
        <w:jc w:val="both"/>
        <w:spacing w:lineRule="auto" w:line="240" w:after="0" w:afterAutospacing="0" w:before="0" w:beforeAutospacing="0"/>
        <w:tabs>
          <w:tab w:val="left" w:pos="992" w:leader="none"/>
        </w:tabs>
      </w:pPr>
      <w:r/>
      <w:r/>
    </w:p>
    <w:p>
      <w:pPr>
        <w:pStyle w:val="927"/>
        <w:ind w:firstLine="709"/>
        <w:jc w:val="both"/>
        <w:spacing w:lineRule="auto" w:line="240" w:after="0" w:afterAutospacing="0" w:before="0" w:beforeAutospacing="0"/>
        <w:tabs>
          <w:tab w:val="left" w:pos="992" w:leader="none"/>
        </w:tabs>
      </w:pPr>
      <w:r/>
      <w:r/>
    </w:p>
    <w:p>
      <w:pPr>
        <w:spacing w:lineRule="auto" w:line="240" w:after="0" w:afterAutospacing="0"/>
        <w:tabs>
          <w:tab w:val="left" w:pos="709" w:leader="none"/>
          <w:tab w:val="left" w:pos="6661" w:leader="none"/>
        </w:tabs>
        <w:rPr>
          <w:rFonts w:eastAsia="Times New Roman"/>
          <w:sz w:val="28"/>
          <w:szCs w:val="28"/>
          <w:lang w:val="uk-UA" w:bidi="ar-SA"/>
        </w:rPr>
      </w:pP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Міський голова</w:t>
        <w:tab/>
      </w: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</w:pPr>
    <w:fldSimple w:instr="PAGE \* MERGEFORMAT">
      <w:r>
        <w:t xml:space="preserve">1</w:t>
      </w:r>
    </w:fldSimple>
    <w:r/>
    <w:r/>
  </w:p>
  <w:p>
    <w:pPr>
      <w:pStyle w:val="7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Endnote Text Char"/>
    <w:link w:val="725"/>
    <w:uiPriority w:val="99"/>
    <w:rPr>
      <w:sz w:val="20"/>
    </w:rPr>
  </w:style>
  <w:style w:type="paragraph" w:styleId="689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 w:customStyle="1">
    <w:name w:val="Heading 1"/>
    <w:basedOn w:val="689"/>
    <w:next w:val="689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 w:customStyle="1">
    <w:name w:val="Heading 2"/>
    <w:basedOn w:val="689"/>
    <w:next w:val="689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 w:customStyle="1">
    <w:name w:val="Heading 3"/>
    <w:basedOn w:val="689"/>
    <w:next w:val="689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 w:customStyle="1">
    <w:name w:val="Heading 4"/>
    <w:basedOn w:val="689"/>
    <w:next w:val="689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 w:customStyle="1">
    <w:name w:val="Heading 5"/>
    <w:basedOn w:val="689"/>
    <w:next w:val="689"/>
    <w:link w:val="7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98" w:customStyle="1">
    <w:name w:val="Heading 6"/>
    <w:basedOn w:val="689"/>
    <w:next w:val="689"/>
    <w:link w:val="7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9" w:customStyle="1">
    <w:name w:val="Heading 7"/>
    <w:basedOn w:val="689"/>
    <w:next w:val="689"/>
    <w:link w:val="7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0" w:customStyle="1">
    <w:name w:val="Heading 8"/>
    <w:basedOn w:val="689"/>
    <w:next w:val="689"/>
    <w:link w:val="7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1" w:customStyle="1">
    <w:name w:val="Heading 9"/>
    <w:basedOn w:val="689"/>
    <w:next w:val="689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2" w:customStyle="1">
    <w:name w:val="Header"/>
    <w:basedOn w:val="689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3" w:customStyle="1">
    <w:name w:val="Footer"/>
    <w:basedOn w:val="689"/>
    <w:link w:val="70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4" w:customStyle="1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 w:customStyle="1">
    <w:name w:val="Caption Char"/>
    <w:link w:val="703"/>
    <w:uiPriority w:val="99"/>
  </w:style>
  <w:style w:type="table" w:styleId="706" w:customStyle="1">
    <w:name w:val="Plain Table 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 w:customStyle="1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 w:customStyle="1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 w:customStyle="1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5">
    <w:name w:val="endnote text"/>
    <w:basedOn w:val="689"/>
    <w:link w:val="726"/>
    <w:uiPriority w:val="99"/>
    <w:semiHidden/>
    <w:unhideWhenUsed/>
    <w:rPr>
      <w:sz w:val="20"/>
    </w:rPr>
  </w:style>
  <w:style w:type="character" w:styleId="726" w:customStyle="1">
    <w:name w:val="Текст концевой сноски Знак"/>
    <w:link w:val="725"/>
    <w:uiPriority w:val="99"/>
    <w:rPr>
      <w:sz w:val="20"/>
    </w:rPr>
  </w:style>
  <w:style w:type="character" w:styleId="727">
    <w:name w:val="endnote reference"/>
    <w:basedOn w:val="690"/>
    <w:uiPriority w:val="99"/>
    <w:semiHidden/>
    <w:unhideWhenUsed/>
    <w:rPr>
      <w:vertAlign w:val="superscript"/>
    </w:rPr>
  </w:style>
  <w:style w:type="paragraph" w:styleId="728">
    <w:name w:val="table of figures"/>
    <w:basedOn w:val="689"/>
    <w:next w:val="689"/>
    <w:uiPriority w:val="99"/>
    <w:unhideWhenUsed/>
  </w:style>
  <w:style w:type="character" w:styleId="729" w:customStyle="1">
    <w:name w:val="Header Char"/>
    <w:basedOn w:val="690"/>
    <w:link w:val="702"/>
    <w:uiPriority w:val="99"/>
  </w:style>
  <w:style w:type="character" w:styleId="730" w:customStyle="1">
    <w:name w:val="Footer Char"/>
    <w:basedOn w:val="690"/>
    <w:uiPriority w:val="99"/>
  </w:style>
  <w:style w:type="character" w:styleId="731" w:customStyle="1">
    <w:name w:val="Footnote Text Char"/>
    <w:uiPriority w:val="99"/>
    <w:rPr>
      <w:sz w:val="18"/>
    </w:rPr>
  </w:style>
  <w:style w:type="paragraph" w:styleId="732" w:customStyle="1">
    <w:name w:val="Заголовок 11"/>
    <w:basedOn w:val="689"/>
    <w:next w:val="689"/>
    <w:link w:val="898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33" w:customStyle="1">
    <w:name w:val="Заголовок 21"/>
    <w:basedOn w:val="689"/>
    <w:next w:val="689"/>
    <w:link w:val="899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34" w:customStyle="1">
    <w:name w:val="Заголовок 31"/>
    <w:basedOn w:val="689"/>
    <w:next w:val="689"/>
    <w:link w:val="900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735" w:customStyle="1">
    <w:name w:val="Заголовок 41"/>
    <w:basedOn w:val="689"/>
    <w:next w:val="689"/>
    <w:link w:val="901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736" w:customStyle="1">
    <w:name w:val="Заголовок 51"/>
    <w:basedOn w:val="689"/>
    <w:next w:val="689"/>
    <w:link w:val="902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737" w:customStyle="1">
    <w:name w:val="Заголовок 61"/>
    <w:basedOn w:val="689"/>
    <w:next w:val="689"/>
    <w:link w:val="903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738" w:customStyle="1">
    <w:name w:val="Заголовок 71"/>
    <w:basedOn w:val="689"/>
    <w:next w:val="689"/>
    <w:link w:val="904"/>
    <w:qFormat/>
    <w:uiPriority w:val="9"/>
    <w:semiHidden/>
    <w:unhideWhenUsed/>
    <w:pPr>
      <w:spacing w:after="60" w:before="240"/>
      <w:outlineLvl w:val="6"/>
    </w:pPr>
  </w:style>
  <w:style w:type="paragraph" w:styleId="739" w:customStyle="1">
    <w:name w:val="Заголовок 81"/>
    <w:basedOn w:val="689"/>
    <w:next w:val="689"/>
    <w:link w:val="905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740" w:customStyle="1">
    <w:name w:val="Заголовок 91"/>
    <w:basedOn w:val="689"/>
    <w:next w:val="689"/>
    <w:link w:val="906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741" w:customStyle="1">
    <w:name w:val="Heading 1 Char"/>
    <w:basedOn w:val="690"/>
    <w:link w:val="693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Heading 2 Char"/>
    <w:basedOn w:val="690"/>
    <w:link w:val="694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690"/>
    <w:link w:val="695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690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690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690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690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690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690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690"/>
    <w:uiPriority w:val="10"/>
    <w:rPr>
      <w:sz w:val="48"/>
      <w:szCs w:val="48"/>
    </w:rPr>
  </w:style>
  <w:style w:type="character" w:styleId="751" w:customStyle="1">
    <w:name w:val="Subtitle Char"/>
    <w:basedOn w:val="690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paragraph" w:styleId="754" w:customStyle="1">
    <w:name w:val="Верхній колонтитул1"/>
    <w:basedOn w:val="689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Верхній колонтитул Знак"/>
    <w:basedOn w:val="690"/>
    <w:link w:val="754"/>
    <w:uiPriority w:val="99"/>
  </w:style>
  <w:style w:type="paragraph" w:styleId="756" w:customStyle="1">
    <w:name w:val="Нижній колонтитул1"/>
    <w:basedOn w:val="689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7" w:customStyle="1">
    <w:name w:val="Нижній колонтитул Знак"/>
    <w:basedOn w:val="690"/>
    <w:link w:val="756"/>
    <w:uiPriority w:val="99"/>
  </w:style>
  <w:style w:type="table" w:styleId="758" w:customStyle="1">
    <w:name w:val="Table Grid Light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Звичайна таблиця 1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21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 w:customStyle="1">
    <w:name w:val="Звичайна таблиця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Звичайна таблиця 5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 w:customStyle="1">
    <w:name w:val="Таблиця-сітка 1 (світл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я-сітка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4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7" w:customStyle="1">
    <w:name w:val="Grid Table 4 - Accent 2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Grid Table 4 - Accent 3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9" w:customStyle="1">
    <w:name w:val="Grid Table 4 - Accent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Grid Table 4 - Accent 5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1" w:customStyle="1">
    <w:name w:val="Grid Table 4 - Accent 6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2" w:customStyle="1">
    <w:name w:val="Таблиця-сітка 5 (темн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Таблиця-сітка 6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Таблиця-сітка 7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Таблиця-список 1 (світл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2" w:customStyle="1">
    <w:name w:val="List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3" w:customStyle="1">
    <w:name w:val="List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4" w:customStyle="1">
    <w:name w:val="List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5" w:customStyle="1">
    <w:name w:val="List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6" w:customStyle="1">
    <w:name w:val="List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7" w:customStyle="1">
    <w:name w:val="Таблиця-список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писок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5 (темн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Таблиця-список 6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0" w:customStyle="1">
    <w:name w:val="List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List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2" w:customStyle="1">
    <w:name w:val="List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List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4" w:customStyle="1">
    <w:name w:val="List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5" w:customStyle="1">
    <w:name w:val="Таблиця-список 7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ned - Accent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3" w:customStyle="1">
    <w:name w:val="Lined - Accent 1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4" w:customStyle="1">
    <w:name w:val="Lined - Accent 2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5" w:customStyle="1">
    <w:name w:val="Lined - Accent 3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6" w:customStyle="1">
    <w:name w:val="Lined - Accent 4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7" w:customStyle="1">
    <w:name w:val="Lined - Accent 5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8" w:customStyle="1">
    <w:name w:val="Lined - Accent 6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9" w:customStyle="1">
    <w:name w:val="Bordered &amp; Lined - Accent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1" w:customStyle="1">
    <w:name w:val="Bordered &amp; Lined - Accent 2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2" w:customStyle="1">
    <w:name w:val="Bordered &amp; Lined - Accent 3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3" w:customStyle="1">
    <w:name w:val="Bordered &amp; Lined - Accent 4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4" w:customStyle="1">
    <w:name w:val="Bordered &amp; Lined - Accent 5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basedOn w:val="691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6" w:customStyle="1">
    <w:name w:val="Bordered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7" w:customStyle="1">
    <w:name w:val="Bordered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8" w:customStyle="1">
    <w:name w:val="Bordered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9" w:customStyle="1">
    <w:name w:val="Bordered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0" w:customStyle="1">
    <w:name w:val="Bordered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1" w:customStyle="1">
    <w:name w:val="Bordered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2" w:customStyle="1">
    <w:name w:val="Bordered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3">
    <w:name w:val="Hyperlink"/>
    <w:uiPriority w:val="99"/>
    <w:unhideWhenUsed/>
    <w:rPr>
      <w:color w:val="0000FF" w:themeColor="hyperlink"/>
      <w:u w:val="single"/>
    </w:rPr>
  </w:style>
  <w:style w:type="paragraph" w:styleId="884">
    <w:name w:val="footnote text"/>
    <w:basedOn w:val="689"/>
    <w:link w:val="885"/>
    <w:uiPriority w:val="99"/>
    <w:semiHidden/>
    <w:unhideWhenUsed/>
    <w:rPr>
      <w:sz w:val="18"/>
    </w:rPr>
    <w:pPr>
      <w:spacing w:after="40"/>
    </w:p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basedOn w:val="690"/>
    <w:uiPriority w:val="99"/>
    <w:unhideWhenUsed/>
    <w:rPr>
      <w:vertAlign w:val="superscript"/>
    </w:rPr>
  </w:style>
  <w:style w:type="paragraph" w:styleId="887">
    <w:name w:val="toc 1"/>
    <w:basedOn w:val="689"/>
    <w:next w:val="689"/>
    <w:uiPriority w:val="39"/>
    <w:unhideWhenUsed/>
    <w:pPr>
      <w:spacing w:after="57"/>
    </w:pPr>
  </w:style>
  <w:style w:type="paragraph" w:styleId="888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889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890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891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892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893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894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895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896">
    <w:name w:val="Balloon Text"/>
    <w:basedOn w:val="689"/>
    <w:link w:val="897"/>
    <w:uiPriority w:val="99"/>
    <w:semiHidden/>
    <w:unhideWhenUsed/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690"/>
    <w:link w:val="896"/>
    <w:uiPriority w:val="99"/>
    <w:semiHidden/>
    <w:rPr>
      <w:rFonts w:ascii="Tahoma" w:hAnsi="Tahoma" w:cs="Tahoma"/>
      <w:sz w:val="16"/>
      <w:szCs w:val="16"/>
    </w:rPr>
  </w:style>
  <w:style w:type="character" w:styleId="898" w:customStyle="1">
    <w:name w:val="Заголовок 1 Знак"/>
    <w:basedOn w:val="690"/>
    <w:link w:val="732"/>
    <w:uiPriority w:val="9"/>
    <w:rPr>
      <w:rFonts w:ascii="Cambria" w:hAnsi="Cambria" w:eastAsia="Cambria"/>
      <w:b/>
      <w:bCs/>
      <w:sz w:val="32"/>
      <w:szCs w:val="32"/>
    </w:rPr>
  </w:style>
  <w:style w:type="character" w:styleId="899" w:customStyle="1">
    <w:name w:val="Заголовок 2 Знак"/>
    <w:basedOn w:val="690"/>
    <w:link w:val="733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900" w:customStyle="1">
    <w:name w:val="Заголовок 3 Знак"/>
    <w:basedOn w:val="690"/>
    <w:link w:val="734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901" w:customStyle="1">
    <w:name w:val="Заголовок 4 Знак"/>
    <w:basedOn w:val="690"/>
    <w:link w:val="735"/>
    <w:uiPriority w:val="9"/>
    <w:rPr>
      <w:b/>
      <w:bCs/>
      <w:sz w:val="28"/>
      <w:szCs w:val="28"/>
    </w:rPr>
  </w:style>
  <w:style w:type="character" w:styleId="902" w:customStyle="1">
    <w:name w:val="Заголовок 5 Знак"/>
    <w:basedOn w:val="690"/>
    <w:link w:val="736"/>
    <w:uiPriority w:val="9"/>
    <w:semiHidden/>
    <w:rPr>
      <w:b/>
      <w:bCs/>
      <w:i/>
      <w:iCs/>
      <w:sz w:val="26"/>
      <w:szCs w:val="26"/>
    </w:rPr>
  </w:style>
  <w:style w:type="character" w:styleId="903" w:customStyle="1">
    <w:name w:val="Заголовок 6 Знак"/>
    <w:basedOn w:val="690"/>
    <w:link w:val="737"/>
    <w:uiPriority w:val="9"/>
    <w:semiHidden/>
    <w:rPr>
      <w:b/>
      <w:bCs/>
    </w:rPr>
  </w:style>
  <w:style w:type="character" w:styleId="904" w:customStyle="1">
    <w:name w:val="Заголовок 7 Знак"/>
    <w:basedOn w:val="690"/>
    <w:link w:val="738"/>
    <w:uiPriority w:val="9"/>
    <w:semiHidden/>
    <w:rPr>
      <w:sz w:val="24"/>
      <w:szCs w:val="24"/>
    </w:rPr>
  </w:style>
  <w:style w:type="character" w:styleId="905" w:customStyle="1">
    <w:name w:val="Заголовок 8 Знак"/>
    <w:basedOn w:val="690"/>
    <w:link w:val="739"/>
    <w:uiPriority w:val="9"/>
    <w:semiHidden/>
    <w:rPr>
      <w:i/>
      <w:iCs/>
      <w:sz w:val="24"/>
      <w:szCs w:val="24"/>
    </w:rPr>
  </w:style>
  <w:style w:type="character" w:styleId="906" w:customStyle="1">
    <w:name w:val="Заголовок 9 Знак"/>
    <w:basedOn w:val="690"/>
    <w:link w:val="740"/>
    <w:uiPriority w:val="9"/>
    <w:semiHidden/>
    <w:rPr>
      <w:rFonts w:ascii="Cambria" w:hAnsi="Cambria" w:eastAsia="Cambria"/>
    </w:rPr>
  </w:style>
  <w:style w:type="paragraph" w:styleId="907">
    <w:name w:val="Title"/>
    <w:basedOn w:val="689"/>
    <w:next w:val="689"/>
    <w:link w:val="908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908" w:customStyle="1">
    <w:name w:val="Название Знак"/>
    <w:basedOn w:val="690"/>
    <w:link w:val="907"/>
    <w:uiPriority w:val="10"/>
    <w:rPr>
      <w:rFonts w:ascii="Cambria" w:hAnsi="Cambria" w:eastAsia="Cambria"/>
      <w:b/>
      <w:bCs/>
      <w:sz w:val="32"/>
      <w:szCs w:val="32"/>
    </w:rPr>
  </w:style>
  <w:style w:type="paragraph" w:styleId="909">
    <w:name w:val="Subtitle"/>
    <w:basedOn w:val="689"/>
    <w:next w:val="689"/>
    <w:link w:val="910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910" w:customStyle="1">
    <w:name w:val="Подзаголовок Знак"/>
    <w:basedOn w:val="690"/>
    <w:link w:val="909"/>
    <w:uiPriority w:val="11"/>
    <w:rPr>
      <w:rFonts w:ascii="Cambria" w:hAnsi="Cambria" w:eastAsia="Cambria"/>
      <w:sz w:val="24"/>
      <w:szCs w:val="24"/>
    </w:rPr>
  </w:style>
  <w:style w:type="character" w:styleId="911">
    <w:name w:val="Strong"/>
    <w:basedOn w:val="690"/>
    <w:qFormat/>
    <w:uiPriority w:val="22"/>
    <w:rPr>
      <w:b/>
      <w:bCs/>
    </w:rPr>
  </w:style>
  <w:style w:type="character" w:styleId="912">
    <w:name w:val="Emphasis"/>
    <w:basedOn w:val="690"/>
    <w:qFormat/>
    <w:uiPriority w:val="20"/>
    <w:rPr>
      <w:rFonts w:ascii="Calibri" w:hAnsi="Calibri"/>
      <w:b/>
      <w:i/>
      <w:iCs/>
    </w:rPr>
  </w:style>
  <w:style w:type="paragraph" w:styleId="913">
    <w:name w:val="No Spacing"/>
    <w:basedOn w:val="689"/>
    <w:qFormat/>
    <w:uiPriority w:val="1"/>
    <w:rPr>
      <w:sz w:val="32"/>
      <w:szCs w:val="32"/>
    </w:rPr>
  </w:style>
  <w:style w:type="paragraph" w:styleId="914">
    <w:name w:val="List Paragraph"/>
    <w:basedOn w:val="689"/>
    <w:link w:val="926"/>
    <w:qFormat/>
    <w:uiPriority w:val="34"/>
    <w:pPr>
      <w:contextualSpacing w:val="true"/>
      <w:ind w:left="720"/>
    </w:pPr>
  </w:style>
  <w:style w:type="paragraph" w:styleId="915">
    <w:name w:val="Quote"/>
    <w:basedOn w:val="689"/>
    <w:next w:val="689"/>
    <w:link w:val="916"/>
    <w:qFormat/>
    <w:uiPriority w:val="29"/>
    <w:rPr>
      <w:i/>
    </w:rPr>
  </w:style>
  <w:style w:type="character" w:styleId="916" w:customStyle="1">
    <w:name w:val="Цитата 2 Знак"/>
    <w:basedOn w:val="690"/>
    <w:link w:val="915"/>
    <w:uiPriority w:val="29"/>
    <w:rPr>
      <w:i/>
      <w:sz w:val="24"/>
      <w:szCs w:val="24"/>
    </w:rPr>
  </w:style>
  <w:style w:type="paragraph" w:styleId="917">
    <w:name w:val="Intense Quote"/>
    <w:basedOn w:val="689"/>
    <w:next w:val="689"/>
    <w:link w:val="918"/>
    <w:qFormat/>
    <w:uiPriority w:val="30"/>
    <w:rPr>
      <w:b/>
      <w:i/>
      <w:sz w:val="22"/>
      <w:szCs w:val="22"/>
    </w:rPr>
    <w:pPr>
      <w:ind w:left="720" w:right="720"/>
    </w:pPr>
  </w:style>
  <w:style w:type="character" w:styleId="918" w:customStyle="1">
    <w:name w:val="Выделенная цитата Знак"/>
    <w:basedOn w:val="690"/>
    <w:link w:val="917"/>
    <w:uiPriority w:val="30"/>
    <w:rPr>
      <w:b/>
      <w:i/>
      <w:sz w:val="24"/>
    </w:rPr>
  </w:style>
  <w:style w:type="character" w:styleId="919">
    <w:name w:val="Subtle Emphasis"/>
    <w:qFormat/>
    <w:uiPriority w:val="19"/>
    <w:rPr>
      <w:i/>
      <w:color w:val="5A5A5A" w:themeColor="text1" w:themeTint="A5"/>
    </w:rPr>
  </w:style>
  <w:style w:type="character" w:styleId="920">
    <w:name w:val="Intense Emphasis"/>
    <w:basedOn w:val="690"/>
    <w:qFormat/>
    <w:uiPriority w:val="21"/>
    <w:rPr>
      <w:b/>
      <w:i/>
      <w:sz w:val="24"/>
      <w:szCs w:val="24"/>
      <w:u w:val="single"/>
    </w:rPr>
  </w:style>
  <w:style w:type="character" w:styleId="921">
    <w:name w:val="Subtle Reference"/>
    <w:basedOn w:val="690"/>
    <w:qFormat/>
    <w:uiPriority w:val="31"/>
    <w:rPr>
      <w:sz w:val="24"/>
      <w:szCs w:val="24"/>
      <w:u w:val="single"/>
    </w:rPr>
  </w:style>
  <w:style w:type="character" w:styleId="922">
    <w:name w:val="Intense Reference"/>
    <w:basedOn w:val="690"/>
    <w:qFormat/>
    <w:uiPriority w:val="32"/>
    <w:rPr>
      <w:b/>
      <w:sz w:val="24"/>
      <w:u w:val="single"/>
    </w:rPr>
  </w:style>
  <w:style w:type="character" w:styleId="923">
    <w:name w:val="Book Title"/>
    <w:basedOn w:val="690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24">
    <w:name w:val="TOC Heading"/>
    <w:basedOn w:val="732"/>
    <w:next w:val="689"/>
    <w:qFormat/>
    <w:uiPriority w:val="39"/>
    <w:semiHidden/>
    <w:unhideWhenUsed/>
    <w:pPr>
      <w:outlineLvl w:val="9"/>
    </w:pPr>
  </w:style>
  <w:style w:type="table" w:styleId="925">
    <w:name w:val="Table Grid"/>
    <w:basedOn w:val="6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6" w:customStyle="1">
    <w:name w:val="Абзац списка Знак"/>
    <w:link w:val="914"/>
    <w:uiPriority w:val="34"/>
    <w:rPr>
      <w:sz w:val="24"/>
      <w:szCs w:val="24"/>
    </w:rPr>
  </w:style>
  <w:style w:type="paragraph" w:styleId="927" w:customStyle="1">
    <w:name w:val="docdata"/>
    <w:basedOn w:val="689"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</w:pPr>
  </w:style>
  <w:style w:type="paragraph" w:styleId="928">
    <w:name w:val="Normal (Web)"/>
    <w:basedOn w:val="689"/>
    <w:uiPriority w:val="99"/>
    <w:unhideWhenUsed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</w:pPr>
  </w:style>
  <w:style w:type="paragraph" w:styleId="929">
    <w:name w:val="Обычный"/>
    <w:next w:val="866"/>
    <w:link w:val="866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Москальчук Марина Віталіївна*</cp:lastModifiedBy>
  <cp:revision>6</cp:revision>
  <dcterms:created xsi:type="dcterms:W3CDTF">2022-01-20T12:46:00Z</dcterms:created>
  <dcterms:modified xsi:type="dcterms:W3CDTF">2022-01-26T14:55:31Z</dcterms:modified>
</cp:coreProperties>
</file>