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0"/>
        <w:jc w:val="center"/>
        <w:spacing w:after="0" w:afterAutospacing="0" w:before="0" w:beforeAutospacing="0"/>
      </w:pPr>
      <w:r>
        <w:rPr>
          <w:sz w:val="28"/>
          <w:szCs w:val="28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6725" cy="638175"/>
                <wp:effectExtent l="0" t="0" r="9525" b="9525"/>
                <wp:docPr id="1" name="Рисунок 1" descr="C:\Users\User\AppData\Local\Microsoft\Windows\Temporary Internet Files\Content.MSO\DEB3B2A.tmp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C:\Users\User\AppData\Local\Microsoft\Windows\Temporary Internet Files\Content.MSO\DEB3B2A.tmp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4667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8pt;height:50.2pt;" stroked="f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pStyle w:val="865"/>
        <w:jc w:val="center"/>
        <w:spacing w:after="0" w:afterAutospacing="0" w:before="0" w:beforeAutospacing="0"/>
      </w:pPr>
      <w:r>
        <w:t xml:space="preserve"> </w:t>
      </w:r>
      <w:r/>
    </w:p>
    <w:p>
      <w:pPr>
        <w:pStyle w:val="865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65"/>
        <w:jc w:val="center"/>
        <w:spacing w:after="0" w:afterAutospacing="0" w:before="0" w:beforeAutospacing="0"/>
        <w:widowControl w:val="off"/>
      </w:pPr>
      <w:r>
        <w:t xml:space="preserve"> </w:t>
      </w:r>
      <w:r/>
    </w:p>
    <w:p>
      <w:pPr>
        <w:pStyle w:val="865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865"/>
        <w:spacing w:after="0" w:afterAutospacing="0" w:before="0" w:before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</w:pPr>
      <w:r>
        <w:t xml:space="preserve"> </w:t>
      </w:r>
      <w:r/>
    </w:p>
    <w:p>
      <w:pPr>
        <w:pStyle w:val="865"/>
        <w:spacing w:after="0" w:afterAutospacing="0" w:before="0" w:before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</w:pPr>
      <w:r>
        <w:rPr>
          <w:color w:val="000000"/>
          <w:sz w:val="28"/>
          <w:szCs w:val="28"/>
        </w:rPr>
        <w:t xml:space="preserve">20</w:t>
      </w:r>
      <w:r>
        <w:rPr>
          <w:color w:val="000000"/>
          <w:sz w:val="28"/>
          <w:szCs w:val="28"/>
        </w:rPr>
        <w:t xml:space="preserve"> січ</w:t>
      </w:r>
      <w:r>
        <w:rPr>
          <w:color w:val="000000"/>
          <w:sz w:val="28"/>
          <w:szCs w:val="28"/>
        </w:rPr>
        <w:t xml:space="preserve">ня 2022 року</w:t>
      </w:r>
      <w:r>
        <w:rPr>
          <w:color w:val="000000"/>
          <w:sz w:val="28"/>
          <w:szCs w:val="28"/>
        </w:rPr>
        <w:tab/>
        <w:t xml:space="preserve">м. </w:t>
      </w:r>
      <w:r>
        <w:rPr>
          <w:color w:val="000000"/>
          <w:sz w:val="28"/>
          <w:szCs w:val="28"/>
        </w:rPr>
        <w:t xml:space="preserve">Мена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№ 14</w:t>
      </w:r>
      <w:r/>
    </w:p>
    <w:p>
      <w:pPr>
        <w:spacing w:lineRule="auto" w:line="24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  <w:r/>
    </w:p>
    <w:p>
      <w:pPr>
        <w:ind w:right="5386"/>
        <w:jc w:val="both"/>
        <w:spacing w:lineRule="auto" w:line="240" w:after="0"/>
        <w:rPr>
          <w:rFonts w:ascii="Times New Roman" w:hAnsi="Times New Roman" w:eastAsia="Times New Roman"/>
          <w:b/>
          <w:bCs/>
          <w:color w:val="000000"/>
          <w:sz w:val="28"/>
          <w:szCs w:val="28"/>
          <w:shd w:val="clear" w:fill="FFFFFF" w:color="auto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shd w:val="clear" w:fill="FFFFFF" w:color="auto"/>
          <w:lang w:eastAsia="uk-UA"/>
        </w:rPr>
        <w:t xml:space="preserve">Про повторне оголошення конкурсу та проведення іспиту на заміщення вакантної посади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color w:val="000000"/>
          <w:sz w:val="27"/>
          <w:szCs w:val="27"/>
          <w:lang w:eastAsia="uk-UA"/>
        </w:rPr>
      </w:pPr>
      <w:r>
        <w:rPr>
          <w:rFonts w:ascii="Times New Roman" w:hAnsi="Times New Roman" w:eastAsia="Times New Roman"/>
          <w:color w:val="000000"/>
          <w:sz w:val="27"/>
          <w:szCs w:val="27"/>
          <w:lang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7"/>
          <w:szCs w:val="27"/>
          <w:shd w:val="clear" w:fill="FFFFFF" w:color="auto"/>
          <w:lang w:eastAsia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Відповідно до рішення дев'ятої сесії Менської міської ради восьмого скликання від 31 серпня 2021 року № 585 «Про затвердження структури та загальної чисельності апарату Менської міської ради та її виконавчих органів», штатного розпису Менської міської ради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 статті 1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0 Закон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у України «Про службу в органах місцевого самоврядування»; вимог постанови Кабінету Міністрів України від 15 лютого 2002 року № 169 «Про затвердження Порядку проведення конкурсу на заміщення вакантних посад державних службовців» із змінами та доповненнями,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Наказу головного управління державної служби України від 08 липня 2011 року № 164 «Про затвердження Загального порядку проведення іспиту кандидатів на заміщення вакантних посад державних службовців», </w:t>
      </w:r>
      <w:r>
        <w:rPr>
          <w:rFonts w:ascii="Times New Roman" w:hAnsi="Times New Roman"/>
          <w:sz w:val="28"/>
          <w:szCs w:val="28"/>
        </w:rPr>
        <w:t xml:space="preserve">враховуючи Порядок проведення конкурсу на заміщення вакантних посад посадових осіб місцевого самоврядування в Менській міської раді, </w:t>
      </w:r>
      <w:r>
        <w:rPr>
          <w:rFonts w:ascii="Times New Roman" w:hAnsi="Times New Roman"/>
          <w:sz w:val="28"/>
          <w:szCs w:val="28"/>
        </w:rPr>
        <w:t xml:space="preserve">затверджени</w:t>
      </w:r>
      <w:r>
        <w:rPr>
          <w:rFonts w:ascii="Times New Roman" w:hAnsi="Times New Roman"/>
          <w:sz w:val="28"/>
          <w:szCs w:val="28"/>
        </w:rPr>
        <w:t xml:space="preserve">й</w:t>
      </w:r>
      <w:r>
        <w:rPr>
          <w:rFonts w:ascii="Times New Roman" w:hAnsi="Times New Roman"/>
          <w:sz w:val="28"/>
          <w:szCs w:val="28"/>
        </w:rPr>
        <w:t xml:space="preserve"> розпорядженням міського голови від 1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 січня </w:t>
      </w:r>
      <w:r>
        <w:rPr>
          <w:rFonts w:ascii="Times New Roman" w:hAnsi="Times New Roman"/>
          <w:sz w:val="28"/>
          <w:szCs w:val="28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21</w:t>
      </w:r>
      <w:r>
        <w:rPr>
          <w:rFonts w:ascii="Times New Roman" w:hAnsi="Times New Roman"/>
          <w:sz w:val="28"/>
          <w:szCs w:val="28"/>
        </w:rPr>
        <w:t xml:space="preserve"> року № </w:t>
      </w:r>
      <w:r>
        <w:rPr>
          <w:rFonts w:ascii="Times New Roman" w:hAnsi="Times New Roman"/>
          <w:sz w:val="28"/>
          <w:szCs w:val="28"/>
        </w:rPr>
        <w:t xml:space="preserve">15,</w:t>
      </w:r>
      <w:r>
        <w:rPr>
          <w:rFonts w:ascii="Times New Roman" w:hAnsi="Times New Roman"/>
          <w:sz w:val="28"/>
          <w:szCs w:val="28"/>
        </w:rPr>
        <w:t xml:space="preserve"> та Порядок проведення іспиту кандидатів на заміщення вакантних посад посадових осіб місцевого самоврядування в Менській міської раді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затверджени</w:t>
      </w:r>
      <w:r>
        <w:rPr>
          <w:rFonts w:ascii="Times New Roman" w:hAnsi="Times New Roman"/>
          <w:sz w:val="28"/>
          <w:szCs w:val="28"/>
        </w:rPr>
        <w:t xml:space="preserve">й</w:t>
      </w:r>
      <w:r>
        <w:rPr>
          <w:rFonts w:ascii="Times New Roman" w:hAnsi="Times New Roman"/>
          <w:sz w:val="28"/>
          <w:szCs w:val="28"/>
        </w:rPr>
        <w:t xml:space="preserve"> розпорядженням міського голови від 1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січня </w:t>
      </w:r>
      <w:r>
        <w:rPr>
          <w:rFonts w:ascii="Times New Roman" w:hAnsi="Times New Roman"/>
          <w:sz w:val="28"/>
          <w:szCs w:val="28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21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16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864"/>
        <w:ind w:left="0" w:right="0" w:firstLine="709"/>
        <w:jc w:val="both"/>
        <w:rPr>
          <w:rFonts w:ascii="Times New Roman" w:hAnsi="Times New Roman"/>
          <w:sz w:val="28"/>
          <w:szCs w:val="28"/>
          <w:shd w:val="clear" w:fill="FFFFFF" w:color="auto"/>
          <w:lang w:eastAsia="uk-UA"/>
        </w:rPr>
      </w:pPr>
      <w:r>
        <w:rPr>
          <w:rFonts w:ascii="Times New Roman" w:hAnsi="Times New Roman"/>
          <w:sz w:val="28"/>
          <w:szCs w:val="28"/>
          <w:shd w:val="clear" w:fill="FFFFFF" w:color="auto"/>
          <w:lang w:eastAsia="uk-UA"/>
        </w:rPr>
        <w:t xml:space="preserve">1. Повторно о</w:t>
      </w:r>
      <w:r>
        <w:rPr>
          <w:rFonts w:ascii="Times New Roman" w:hAnsi="Times New Roman"/>
          <w:sz w:val="28"/>
          <w:szCs w:val="28"/>
          <w:shd w:val="clear" w:fill="FFFFFF" w:color="auto"/>
          <w:lang w:eastAsia="uk-UA"/>
        </w:rPr>
        <w:t xml:space="preserve">голо</w:t>
      </w:r>
      <w:r>
        <w:rPr>
          <w:rFonts w:ascii="Times New Roman" w:hAnsi="Times New Roman"/>
          <w:sz w:val="28"/>
          <w:szCs w:val="28"/>
          <w:shd w:val="clear" w:fill="FFFFFF" w:color="auto"/>
          <w:lang w:eastAsia="uk-UA"/>
        </w:rPr>
        <w:t xml:space="preserve">сити</w:t>
      </w:r>
      <w:r>
        <w:rPr>
          <w:rFonts w:ascii="Times New Roman" w:hAnsi="Times New Roman"/>
          <w:sz w:val="28"/>
          <w:szCs w:val="28"/>
          <w:shd w:val="clear" w:fill="FFFFFF" w:color="auto"/>
          <w:lang w:eastAsia="uk-UA"/>
        </w:rPr>
        <w:t xml:space="preserve"> конкурс на заміщення вакантн</w:t>
      </w:r>
      <w:r>
        <w:rPr>
          <w:rFonts w:ascii="Times New Roman" w:hAnsi="Times New Roman"/>
          <w:sz w:val="28"/>
          <w:szCs w:val="28"/>
          <w:shd w:val="clear" w:fill="FFFFFF" w:color="auto"/>
          <w:lang w:eastAsia="uk-UA"/>
        </w:rPr>
        <w:t xml:space="preserve">ої</w:t>
      </w:r>
      <w:r>
        <w:rPr>
          <w:rFonts w:ascii="Times New Roman" w:hAnsi="Times New Roman"/>
          <w:sz w:val="28"/>
          <w:szCs w:val="28"/>
          <w:shd w:val="clear" w:fill="FFFFFF" w:color="auto"/>
          <w:lang w:eastAsia="uk-UA"/>
        </w:rPr>
        <w:t xml:space="preserve"> посад</w:t>
      </w:r>
      <w:r>
        <w:rPr>
          <w:rFonts w:ascii="Times New Roman" w:hAnsi="Times New Roman"/>
          <w:sz w:val="28"/>
          <w:szCs w:val="28"/>
          <w:shd w:val="clear" w:fill="FFFFFF" w:color="auto"/>
          <w:lang w:eastAsia="uk-UA"/>
        </w:rPr>
        <w:t xml:space="preserve">и</w:t>
      </w:r>
      <w:r>
        <w:rPr>
          <w:rFonts w:ascii="Times New Roman" w:hAnsi="Times New Roman"/>
          <w:sz w:val="28"/>
          <w:szCs w:val="28"/>
          <w:shd w:val="clear" w:fill="FFFFFF" w:color="auto"/>
          <w:lang w:eastAsia="uk-UA"/>
        </w:rPr>
        <w:t xml:space="preserve"> посадової особи місцевого самоврядування – </w:t>
      </w:r>
      <w:r>
        <w:rPr>
          <w:rFonts w:ascii="Times New Roman" w:hAnsi="Times New Roman"/>
          <w:sz w:val="28"/>
          <w:szCs w:val="28"/>
          <w:shd w:val="clear" w:fill="FFFFFF" w:color="auto"/>
          <w:lang w:eastAsia="uk-UA"/>
        </w:rPr>
        <w:t xml:space="preserve">завідувача сектору оборонної роботи, цивільного захисту населення та роботи з правоохоронними органами </w:t>
      </w:r>
      <w:r>
        <w:rPr>
          <w:rFonts w:ascii="Times New Roman" w:hAnsi="Times New Roman"/>
          <w:bCs/>
          <w:sz w:val="28"/>
          <w:szCs w:val="28"/>
          <w:shd w:val="clear" w:fill="FFFFFF" w:color="auto"/>
          <w:lang w:eastAsia="uk-UA"/>
        </w:rPr>
        <w:t xml:space="preserve">Менської міської ради</w:t>
      </w:r>
      <w:bookmarkStart w:id="0" w:name="_Hlk60131183"/>
      <w:r>
        <w:rPr>
          <w:rFonts w:ascii="Times New Roman" w:hAnsi="Times New Roman"/>
          <w:bCs/>
          <w:sz w:val="28"/>
          <w:szCs w:val="28"/>
          <w:shd w:val="clear" w:fill="FFFFFF" w:color="auto"/>
          <w:lang w:eastAsia="uk-UA"/>
        </w:rPr>
        <w:t xml:space="preserve">.</w:t>
      </w:r>
      <w:bookmarkEnd w:id="0"/>
      <w:r/>
      <w:r/>
    </w:p>
    <w:p>
      <w:pPr>
        <w:pStyle w:val="864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2.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Ви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значити вимоги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 до посади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color w:val="3C392E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вища освіта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не нижче ступеня </w:t>
      </w:r>
      <w:bookmarkStart w:id="1" w:name="_Hlk35440741"/>
      <w:r>
        <w:rPr>
          <w:rFonts w:ascii="Times New Roman" w:hAnsi="Times New Roman"/>
          <w:sz w:val="28"/>
          <w:szCs w:val="28"/>
          <w:lang w:eastAsia="uk-UA"/>
        </w:rPr>
        <w:t xml:space="preserve">магістра, спеціаліста;</w:t>
      </w:r>
      <w:bookmarkEnd w:id="1"/>
      <w:r/>
      <w:r/>
    </w:p>
    <w:p>
      <w:pPr>
        <w:pStyle w:val="864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с</w:t>
      </w:r>
      <w:r>
        <w:rPr>
          <w:rFonts w:ascii="Times New Roman" w:hAnsi="Times New Roman"/>
          <w:sz w:val="28"/>
          <w:szCs w:val="28"/>
          <w:lang w:eastAsia="uk-UA"/>
        </w:rPr>
        <w:t xml:space="preserve">таж роботи на службі в органах місцевого самоврядування </w:t>
      </w:r>
      <w:r>
        <w:rPr>
          <w:rFonts w:ascii="Times New Roman" w:hAnsi="Times New Roman"/>
          <w:sz w:val="28"/>
          <w:szCs w:val="28"/>
          <w:lang w:eastAsia="uk-UA"/>
        </w:rPr>
        <w:t xml:space="preserve">на посадах державної служби або досвід роботи на керівних посадах підприємств, установ та організацій незалежно від форм власності не менше 2</w:t>
      </w:r>
      <w:r>
        <w:rPr>
          <w:rFonts w:ascii="Times New Roman" w:hAnsi="Times New Roman"/>
          <w:sz w:val="28"/>
          <w:szCs w:val="28"/>
          <w:lang w:eastAsia="uk-UA"/>
        </w:rPr>
        <w:t xml:space="preserve"> рок</w:t>
      </w:r>
      <w:r>
        <w:rPr>
          <w:rFonts w:ascii="Times New Roman" w:hAnsi="Times New Roman"/>
          <w:sz w:val="28"/>
          <w:szCs w:val="28"/>
          <w:lang w:eastAsia="uk-UA"/>
        </w:rPr>
        <w:t xml:space="preserve">ів</w:t>
      </w:r>
      <w:r>
        <w:rPr>
          <w:rFonts w:ascii="Times New Roman" w:hAnsi="Times New Roman"/>
          <w:sz w:val="28"/>
          <w:szCs w:val="28"/>
          <w:lang w:eastAsia="uk-UA"/>
        </w:rPr>
        <w:t xml:space="preserve">; 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вільне володіння державною мовою;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знання основних програм роботи на комп’ютері.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</w:t>
      </w:r>
      <w:r>
        <w:rPr>
          <w:rFonts w:ascii="Times New Roman" w:hAnsi="Times New Roman"/>
          <w:sz w:val="28"/>
          <w:szCs w:val="28"/>
        </w:rPr>
        <w:t xml:space="preserve"> Провести іспит на заміщення вакантн</w:t>
      </w:r>
      <w:r>
        <w:rPr>
          <w:rFonts w:ascii="Times New Roman" w:hAnsi="Times New Roman"/>
          <w:sz w:val="28"/>
          <w:szCs w:val="28"/>
        </w:rPr>
        <w:t xml:space="preserve">ої посад</w:t>
      </w:r>
      <w:r>
        <w:rPr>
          <w:rFonts w:ascii="Times New Roman" w:hAnsi="Times New Roman"/>
          <w:sz w:val="28"/>
          <w:szCs w:val="28"/>
        </w:rPr>
        <w:t xml:space="preserve">и у структурі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проведення іспиту затвердити:</w:t>
      </w:r>
      <w:r/>
    </w:p>
    <w:p>
      <w:pPr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ерелік питань на перевірку знання законодавства кандидатами на заміщення вакантн</w:t>
      </w:r>
      <w:r>
        <w:rPr>
          <w:rFonts w:ascii="Times New Roman" w:hAnsi="Times New Roman"/>
          <w:sz w:val="28"/>
          <w:szCs w:val="28"/>
        </w:rPr>
        <w:t xml:space="preserve">ої </w:t>
      </w:r>
      <w:r>
        <w:rPr>
          <w:rFonts w:ascii="Times New Roman" w:hAnsi="Times New Roman"/>
          <w:sz w:val="28"/>
          <w:szCs w:val="28"/>
        </w:rPr>
        <w:t xml:space="preserve">посад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 структурі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Менської міської ради.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</w:t>
      </w:r>
      <w:r>
        <w:rPr>
          <w:rFonts w:ascii="Times New Roman" w:hAnsi="Times New Roman"/>
          <w:color w:val="000000"/>
          <w:sz w:val="28"/>
          <w:szCs w:val="28"/>
        </w:rPr>
        <w:t xml:space="preserve">. Завідувачу сектору кадрової роботи Менської міської ради </w:t>
      </w:r>
      <w:r>
        <w:rPr>
          <w:rFonts w:ascii="Times New Roman" w:hAnsi="Times New Roman"/>
          <w:color w:val="000000"/>
          <w:sz w:val="28"/>
          <w:szCs w:val="28"/>
        </w:rPr>
        <w:t xml:space="preserve">ОСЄДАЧ Раїсі Миколаївні</w:t>
      </w:r>
      <w:r>
        <w:rPr>
          <w:rFonts w:ascii="Times New Roman" w:hAnsi="Times New Roman"/>
          <w:color w:val="000000"/>
          <w:sz w:val="28"/>
          <w:szCs w:val="28"/>
        </w:rPr>
        <w:t xml:space="preserve">, розмістити </w:t>
      </w:r>
      <w:r>
        <w:rPr>
          <w:rFonts w:ascii="Times New Roman" w:hAnsi="Times New Roman"/>
          <w:color w:val="000000"/>
          <w:sz w:val="28"/>
          <w:szCs w:val="28"/>
        </w:rPr>
        <w:t xml:space="preserve">оголошення про проведення конкурсу </w:t>
      </w:r>
      <w:r>
        <w:rPr>
          <w:rFonts w:ascii="Times New Roman" w:hAnsi="Times New Roman"/>
          <w:color w:val="000000"/>
          <w:sz w:val="28"/>
          <w:szCs w:val="28"/>
        </w:rPr>
        <w:t xml:space="preserve">на офіційному сайті Менської міської ради та довести до відома посадових осіб Менської міської ради зміст розпорядження про оголошення конкурсу на заміщення вакантної посади.</w:t>
      </w:r>
      <w:r/>
    </w:p>
    <w:p>
      <w:pPr>
        <w:pStyle w:val="865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65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65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Міський голова                                                              </w:t>
      </w:r>
      <w:r>
        <w:rPr>
          <w:bCs/>
          <w:color w:val="000000"/>
          <w:sz w:val="28"/>
          <w:szCs w:val="28"/>
        </w:rPr>
        <w:t xml:space="preserve">       </w:t>
      </w:r>
      <w:r>
        <w:rPr>
          <w:bCs/>
          <w:color w:val="000000"/>
          <w:sz w:val="28"/>
          <w:szCs w:val="28"/>
        </w:rPr>
        <w:t xml:space="preserve">Геннадій ПРИМАКОВ</w:t>
      </w:r>
      <w:r/>
    </w:p>
    <w:p>
      <w:pPr>
        <w:pStyle w:val="865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65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65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65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65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65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65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65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65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65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65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65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65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65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65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65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67"/>
        <w:ind w:left="6372" w:firstLine="1"/>
        <w:spacing w:lineRule="atLeast" w:line="301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67"/>
        <w:ind w:left="6372" w:firstLine="1"/>
        <w:spacing w:lineRule="atLeast" w:line="301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67"/>
        <w:ind w:left="6372" w:firstLine="1"/>
        <w:spacing w:lineRule="atLeast" w:line="301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67"/>
        <w:ind w:left="6372" w:firstLine="1"/>
        <w:spacing w:lineRule="atLeast" w:line="301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67"/>
        <w:spacing w:lineRule="atLeast" w:line="301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67"/>
        <w:ind w:left="6372" w:firstLine="1"/>
        <w:spacing w:lineRule="atLeast" w:line="301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67"/>
        <w:ind w:left="6372" w:firstLine="1"/>
        <w:spacing w:lineRule="atLeast" w:line="301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67"/>
        <w:ind w:left="6372" w:firstLine="1"/>
        <w:spacing w:lineRule="atLeast" w:line="301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67"/>
        <w:ind w:left="6372" w:firstLine="1"/>
        <w:spacing w:lineRule="atLeast" w:line="301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67"/>
        <w:ind w:left="5103"/>
        <w:spacing w:lineRule="atLeast" w:line="301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highlight w:val="none"/>
          <w:lang w:val="ru-RU"/>
        </w:rPr>
      </w:r>
      <w:r>
        <w:rPr>
          <w:rFonts w:ascii="Times New Roman" w:hAnsi="Times New Roman"/>
          <w:sz w:val="28"/>
          <w:szCs w:val="28"/>
          <w:highlight w:val="none"/>
          <w:lang w:val="ru-RU"/>
        </w:rPr>
      </w:r>
      <w:r/>
    </w:p>
    <w:p>
      <w:pPr>
        <w:pStyle w:val="867"/>
        <w:ind w:left="5103"/>
        <w:spacing w:lineRule="atLeast" w:line="301" w:after="0"/>
        <w:rPr>
          <w:rFonts w:ascii="Times New Roman" w:hAnsi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/>
          <w:sz w:val="28"/>
          <w:szCs w:val="28"/>
          <w:highlight w:val="none"/>
          <w:lang w:val="ru-RU"/>
        </w:rPr>
      </w:r>
      <w:r>
        <w:rPr>
          <w:rFonts w:ascii="Times New Roman" w:hAnsi="Times New Roman"/>
          <w:sz w:val="28"/>
          <w:szCs w:val="28"/>
          <w:highlight w:val="none"/>
          <w:lang w:val="ru-RU"/>
        </w:rPr>
      </w:r>
      <w:r/>
    </w:p>
    <w:p>
      <w:pPr>
        <w:pStyle w:val="867"/>
        <w:ind w:left="5103"/>
        <w:spacing w:lineRule="atLeast" w:line="301" w:after="0"/>
        <w:rPr>
          <w:rFonts w:ascii="Times New Roman" w:hAnsi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/>
          <w:sz w:val="28"/>
          <w:szCs w:val="28"/>
          <w:highlight w:val="none"/>
          <w:lang w:val="ru-RU"/>
        </w:rPr>
      </w:r>
      <w:r>
        <w:rPr>
          <w:rFonts w:ascii="Times New Roman" w:hAnsi="Times New Roman"/>
          <w:sz w:val="28"/>
          <w:szCs w:val="28"/>
          <w:highlight w:val="none"/>
          <w:lang w:val="ru-RU"/>
        </w:rPr>
      </w:r>
      <w:r/>
    </w:p>
    <w:p>
      <w:pPr>
        <w:pStyle w:val="867"/>
        <w:ind w:left="5103"/>
        <w:spacing w:lineRule="atLeast" w:line="301" w:after="0"/>
        <w:rPr>
          <w:rFonts w:ascii="Times New Roman" w:hAnsi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/>
          <w:sz w:val="28"/>
          <w:szCs w:val="28"/>
          <w:highlight w:val="none"/>
          <w:lang w:val="ru-RU"/>
        </w:rPr>
      </w:r>
      <w:r>
        <w:rPr>
          <w:rFonts w:ascii="Times New Roman" w:hAnsi="Times New Roman"/>
          <w:sz w:val="28"/>
          <w:szCs w:val="28"/>
          <w:highlight w:val="none"/>
          <w:lang w:val="ru-RU"/>
        </w:rPr>
      </w:r>
      <w:r/>
    </w:p>
    <w:p>
      <w:pPr>
        <w:pStyle w:val="867"/>
        <w:ind w:left="5103"/>
        <w:spacing w:lineRule="atLeast" w:line="301" w:after="0"/>
        <w:rPr>
          <w:rFonts w:ascii="Times New Roman" w:hAnsi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/>
          <w:sz w:val="28"/>
          <w:szCs w:val="28"/>
          <w:highlight w:val="none"/>
          <w:lang w:val="ru-RU"/>
        </w:rPr>
      </w:r>
      <w:r>
        <w:rPr>
          <w:rFonts w:ascii="Times New Roman" w:hAnsi="Times New Roman"/>
          <w:sz w:val="28"/>
          <w:szCs w:val="28"/>
          <w:highlight w:val="none"/>
          <w:lang w:val="ru-RU"/>
        </w:rPr>
      </w:r>
      <w:r/>
    </w:p>
    <w:p>
      <w:pPr>
        <w:pStyle w:val="867"/>
        <w:ind w:left="5103"/>
        <w:spacing w:lineRule="atLeast" w:line="301" w:after="0"/>
        <w:rPr>
          <w:rFonts w:ascii="Times New Roman" w:hAnsi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/>
          <w:sz w:val="28"/>
          <w:szCs w:val="28"/>
          <w:highlight w:val="none"/>
          <w:lang w:val="ru-RU"/>
        </w:rPr>
      </w:r>
      <w:r>
        <w:rPr>
          <w:rFonts w:ascii="Times New Roman" w:hAnsi="Times New Roman"/>
          <w:sz w:val="28"/>
          <w:szCs w:val="28"/>
          <w:highlight w:val="none"/>
          <w:lang w:val="ru-RU"/>
        </w:rPr>
      </w:r>
      <w:r/>
    </w:p>
    <w:p>
      <w:pPr>
        <w:pStyle w:val="867"/>
        <w:ind w:left="5103"/>
        <w:spacing w:lineRule="atLeast" w:line="301" w:after="0"/>
        <w:rPr>
          <w:rFonts w:ascii="Times New Roman" w:hAnsi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/>
          <w:sz w:val="28"/>
          <w:szCs w:val="28"/>
          <w:highlight w:val="none"/>
          <w:lang w:val="ru-RU"/>
        </w:rPr>
      </w:r>
      <w:r>
        <w:rPr>
          <w:rFonts w:ascii="Times New Roman" w:hAnsi="Times New Roman"/>
          <w:sz w:val="28"/>
          <w:szCs w:val="28"/>
          <w:highlight w:val="none"/>
          <w:lang w:val="ru-RU"/>
        </w:rPr>
      </w:r>
      <w:r/>
    </w:p>
    <w:p>
      <w:pPr>
        <w:pStyle w:val="867"/>
        <w:ind w:left="5103"/>
        <w:spacing w:lineRule="atLeast" w:line="301" w:after="0"/>
        <w:rPr>
          <w:rFonts w:ascii="Times New Roman" w:hAnsi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/>
          <w:sz w:val="28"/>
          <w:szCs w:val="28"/>
          <w:highlight w:val="none"/>
          <w:lang w:val="ru-RU"/>
        </w:rPr>
      </w:r>
      <w:r>
        <w:rPr>
          <w:rFonts w:ascii="Times New Roman" w:hAnsi="Times New Roman"/>
          <w:sz w:val="28"/>
          <w:szCs w:val="28"/>
          <w:highlight w:val="none"/>
          <w:lang w:val="ru-RU"/>
        </w:rPr>
      </w:r>
      <w:r/>
    </w:p>
    <w:p>
      <w:pPr>
        <w:pStyle w:val="867"/>
        <w:ind w:left="5103"/>
        <w:spacing w:lineRule="atLeast" w:line="301" w:after="0"/>
        <w:rPr>
          <w:rFonts w:ascii="Times New Roman" w:hAnsi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/>
          <w:sz w:val="28"/>
          <w:szCs w:val="28"/>
          <w:highlight w:val="none"/>
          <w:lang w:val="ru-RU"/>
        </w:rPr>
      </w:r>
      <w:r>
        <w:rPr>
          <w:rFonts w:ascii="Times New Roman" w:hAnsi="Times New Roman"/>
          <w:sz w:val="28"/>
          <w:szCs w:val="28"/>
          <w:highlight w:val="none"/>
          <w:lang w:val="ru-RU"/>
        </w:rPr>
      </w:r>
      <w:r/>
    </w:p>
    <w:p>
      <w:pPr>
        <w:pStyle w:val="867"/>
        <w:ind w:left="5103" w:right="0" w:firstLine="566"/>
        <w:spacing w:lineRule="atLeast" w:line="301" w:after="0"/>
        <w:rPr>
          <w:rFonts w:ascii="Times New Roman" w:hAnsi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Додаток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/>
    </w:p>
    <w:p>
      <w:pPr>
        <w:pStyle w:val="867"/>
        <w:ind w:left="5103" w:right="0" w:firstLine="566"/>
        <w:spacing w:lineRule="atLeast" w:line="301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розпорядженн</w:t>
      </w:r>
      <w:r>
        <w:rPr>
          <w:rFonts w:ascii="Times New Roman" w:hAnsi="Times New Roman"/>
          <w:sz w:val="28"/>
          <w:szCs w:val="28"/>
        </w:rPr>
        <w:t xml:space="preserve">я міського голови </w:t>
      </w:r>
      <w:r/>
    </w:p>
    <w:p>
      <w:pPr>
        <w:pStyle w:val="867"/>
        <w:ind w:left="5103" w:right="0" w:firstLine="566"/>
        <w:spacing w:lineRule="atLeast" w:line="301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січня 2022 року № 14</w:t>
      </w:r>
      <w:r/>
    </w:p>
    <w:p>
      <w:pPr>
        <w:pStyle w:val="867"/>
        <w:ind w:left="6372" w:firstLine="1"/>
        <w:spacing w:lineRule="atLeast" w:line="301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864"/>
        <w:jc w:val="center"/>
        <w:rPr>
          <w:rFonts w:ascii="Times New Roman" w:hAnsi="Times New Roman" w:eastAsia="Times New Roman"/>
          <w:b/>
          <w:sz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Перелік питань на перевірку знання Конституції України,</w:t>
      </w:r>
      <w:r/>
    </w:p>
    <w:p>
      <w:pPr>
        <w:pStyle w:val="864"/>
        <w:jc w:val="center"/>
        <w:rPr>
          <w:rStyle w:val="868"/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Законів України 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</w:rPr>
        <w:t xml:space="preserve">«Про службу в органах місцевого самоврядування», </w:t>
      </w:r>
      <w:r>
        <w:rPr>
          <w:rStyle w:val="868"/>
          <w:rFonts w:ascii="Times New Roman" w:hAnsi="Times New Roman" w:eastAsia="Times New Roman"/>
          <w:b/>
          <w:bCs/>
          <w:color w:val="000000"/>
          <w:sz w:val="28"/>
          <w:szCs w:val="28"/>
        </w:rPr>
      </w:r>
      <w:r/>
    </w:p>
    <w:p>
      <w:pPr>
        <w:pStyle w:val="864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Style w:val="868"/>
          <w:rFonts w:ascii="Times New Roman" w:hAnsi="Times New Roman" w:eastAsia="Times New Roman"/>
          <w:b/>
          <w:bCs/>
          <w:color w:val="000000"/>
          <w:sz w:val="28"/>
          <w:szCs w:val="28"/>
        </w:rPr>
        <w:t xml:space="preserve">«Про запобігання корупції», 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</w:rPr>
        <w:t xml:space="preserve">«Про місцеве самоврядування в Україні».</w:t>
      </w:r>
      <w:r>
        <w:rPr>
          <w:rStyle w:val="869"/>
          <w:rFonts w:ascii="Times New Roman" w:hAnsi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</w:rPr>
        <w:t xml:space="preserve"> </w:t>
      </w:r>
      <w:r/>
    </w:p>
    <w:p>
      <w:pPr>
        <w:pStyle w:val="867"/>
        <w:ind w:left="6372" w:firstLine="1"/>
        <w:spacing w:lineRule="atLeast" w:line="301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ind w:firstLine="709"/>
        <w:jc w:val="center"/>
        <w:spacing w:lineRule="atLeast" w:line="301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I. Питання на перевірку</w:t>
      </w:r>
      <w:r>
        <w:rPr>
          <w:rFonts w:ascii="Times New Roman" w:hAnsi="Times New Roman" w:eastAsia="Times New Roman"/>
          <w:b/>
          <w:bCs/>
          <w:i/>
          <w:iCs/>
          <w:color w:val="000000"/>
          <w:sz w:val="28"/>
          <w:szCs w:val="28"/>
          <w:lang w:eastAsia="uk-UA"/>
        </w:rPr>
        <w:t xml:space="preserve"> 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знання Конституції України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1. Основні розділи Конституції України.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2. Основні риси Української держави за Конституцією України (статті 1,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3. Форма правління в Україні (стаття 5).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4. Визнання найвищої соціальної цінності України (стаття 3).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5. Конституційний статус державної мови та мов національних меншин України (стаття 10).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6. Об'єкти права власності Українського народу (статті 13, 14).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7. Найважливіші функції держави (стаття 17).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8. Державні символи України (стаття 20).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9. Конституційне право на працю (стаття 43).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10. Конституційне право на освіту (стаття 53).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11. Конституційне право на соціальний захист (стаття 46).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12. Конституційне право на охорону здоров'я (стаття 49).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13. Обов'язки громадянина України (статті 65 - 68).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14. Право громадянина України на вибори. (статті 70).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15. Призначення  всеукраїнського референдуму. Питання, що вирішуються на всеукраїнському референдумі (статті 72-74).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16. Бюджетна система України. Державний бюджет України (статті 95- 96).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17. Порядок обрання Президента України (стаття 103).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18. Дострокове припинення повноваження Президента України (стаття</w:t>
      </w:r>
      <w:r>
        <w:rPr>
          <w:rFonts w:cs="Calibri" w:eastAsia="Times New Roman"/>
          <w:color w:val="000000"/>
          <w:sz w:val="28"/>
          <w:szCs w:val="28"/>
          <w:lang w:eastAsia="uk-UA"/>
        </w:rPr>
        <w:t xml:space="preserve"> 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108).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19. Склад Кабінету Міністрів України (стаття 114).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20. Повноваження Кабінету Міністрів України (статті 116, 117).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21. Повноваження місцевих державних адміністрацій (стаття 119).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22. Правосуддя в Україні. Система судів в Україні (стаття 124, 125).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23. Система адміністративно-територіального устрою України (стаття 133).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24.Територіальні громади. Органи місцевого самоврядування в Україні (статті 143-144).</w:t>
      </w:r>
      <w:r/>
    </w:p>
    <w:p>
      <w:pPr>
        <w:ind w:left="360"/>
        <w:jc w:val="center"/>
        <w:spacing w:lineRule="atLeast" w:line="301" w:after="0"/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highlight w:val="none"/>
          <w:lang w:eastAsia="uk-UA"/>
        </w:rPr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highlight w:val="none"/>
          <w:lang w:eastAsia="uk-UA"/>
        </w:rPr>
      </w:r>
      <w:r/>
    </w:p>
    <w:p>
      <w:pPr>
        <w:ind w:left="360"/>
        <w:jc w:val="center"/>
        <w:spacing w:lineRule="atLeast" w:line="301" w:after="0"/>
        <w:rPr>
          <w:rFonts w:ascii="Times New Roman" w:hAnsi="Times New Roman" w:eastAsia="Times New Roman"/>
          <w:b/>
          <w:color w:val="000000"/>
          <w:sz w:val="28"/>
          <w:szCs w:val="28"/>
          <w:highlight w:val="none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II. Питання на перевірку знання Закону України </w:t>
      </w:r>
      <w:r/>
    </w:p>
    <w:p>
      <w:pPr>
        <w:ind w:left="360"/>
        <w:jc w:val="center"/>
        <w:spacing w:lineRule="atLeast" w:line="301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«Про службу в органах місцевого самоврядування»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1. Посади в органах місцевого самоврядування (стаття 3).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2. Основні принципи  служби в органах місцевого самоврядування (стаття</w:t>
      </w:r>
      <w:r>
        <w:rPr>
          <w:rFonts w:cs="Calibri" w:eastAsia="Times New Roman"/>
          <w:color w:val="000000"/>
          <w:sz w:val="28"/>
          <w:szCs w:val="28"/>
          <w:lang w:eastAsia="uk-UA"/>
        </w:rPr>
        <w:t xml:space="preserve"> 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4).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6. Право на службу в органах місцевого самоврядування (стаття 5)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3. Основні обов’язки посадових осіб місцевого самоврядування (стаття 8).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4. Основні права посадових осіб місцевого самоврядування (стаття 9)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5. Прийняття на службу в органи місцевого самоврядування (стаття 10).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7. Присяга посадових осіб місцевого самоврядування (стаття 11).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8. Обмеження,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пов&amp;apos;язані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з прийняттям на службу в органи місцевого самоврядування (статті 12).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9. Граничний вік перебування на службі в органах місцевого самоврядування(стаття 18).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10. Підстави припинення служби в органах місцевого самоврядування (стаття 20).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11. Класифікація посад в органах місцевого самоврядування (статті 14).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12. Ранги посадових осіб місцевого самоврядування (стаття 15).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13. Правове регулювання статусу посадових осіб місцевого самоврядування (стаття 7).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14. Кадровий резерв служби в органах місцевого самоврядування (стаття</w:t>
      </w:r>
      <w:r>
        <w:rPr>
          <w:rFonts w:cs="Calibri" w:eastAsia="Times New Roman"/>
          <w:color w:val="000000"/>
          <w:sz w:val="28"/>
          <w:szCs w:val="28"/>
          <w:lang w:eastAsia="uk-UA"/>
        </w:rPr>
        <w:t xml:space="preserve"> 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16).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15. Відповідальність за порушення законодавства про службу в органах місцевого самоврядування (стаття 23).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16. Оплата праці, відпустки та пенсійне забезпечення посадових осіб місцевого самоврядування (стаття 21).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17. Атестація посадових осіб місцевого самоврядування (стаття 17).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18. Відповідальність посадової особи місцевого самоврядування (стаття  24).</w:t>
      </w:r>
      <w:r/>
    </w:p>
    <w:p>
      <w:pPr>
        <w:spacing w:lineRule="atLeast" w:line="301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sz w:val="24"/>
          <w:szCs w:val="24"/>
          <w:lang w:eastAsia="uk-UA"/>
        </w:rPr>
        <w:t xml:space="preserve"> </w:t>
      </w:r>
      <w:r/>
    </w:p>
    <w:p>
      <w:pPr>
        <w:jc w:val="center"/>
        <w:spacing w:lineRule="atLeast" w:line="301" w:after="0"/>
        <w:rPr>
          <w:rFonts w:ascii="Times New Roman" w:hAnsi="Times New Roman" w:eastAsia="Times New Roman"/>
          <w:b/>
          <w:color w:val="000000"/>
          <w:sz w:val="28"/>
          <w:szCs w:val="28"/>
          <w:u w:val="none"/>
        </w:rPr>
      </w:pPr>
      <w:r>
        <w:rPr>
          <w:rFonts w:ascii="Times New Roman" w:hAnsi="Times New Roman" w:eastAsia="Times New Roman"/>
          <w:sz w:val="24"/>
          <w:szCs w:val="24"/>
          <w:lang w:eastAsia="uk-UA"/>
        </w:rPr>
        <w:t xml:space="preserve"> 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ІІІ. Питання на перевірку знання </w:t>
      </w:r>
      <w:hyperlink r:id="rId15" w:tooltip="http://zakon1.rada.gov.ua/laws/show/1700-18/paran2#n2" w:anchor="n2" w:history="1">
        <w:r>
          <w:rPr>
            <w:rStyle w:val="866"/>
            <w:rFonts w:ascii="Times New Roman" w:hAnsi="Times New Roman" w:eastAsia="Times New Roman"/>
            <w:b/>
            <w:bCs/>
            <w:color w:val="000000"/>
            <w:sz w:val="28"/>
            <w:szCs w:val="28"/>
            <w:u w:val="none"/>
            <w:lang w:eastAsia="uk-UA"/>
          </w:rPr>
          <w:t xml:space="preserve">Закону України</w:t>
        </w:r>
      </w:hyperlink>
      <w:r>
        <w:rPr>
          <w:rFonts w:ascii="Times New Roman" w:hAnsi="Times New Roman" w:eastAsia="Times New Roman"/>
          <w:b/>
          <w:bCs/>
          <w:color w:val="000000"/>
          <w:sz w:val="28"/>
          <w:szCs w:val="28"/>
          <w:u w:val="none"/>
          <w:lang w:eastAsia="uk-UA"/>
        </w:rPr>
        <w:t xml:space="preserve"> </w:t>
      </w:r>
      <w:r>
        <w:rPr>
          <w:u w:val="none"/>
        </w:rPr>
      </w:r>
      <w:r/>
    </w:p>
    <w:p>
      <w:pPr>
        <w:jc w:val="center"/>
        <w:spacing w:lineRule="atLeast" w:line="301" w:after="0"/>
        <w:rPr>
          <w:rFonts w:ascii="Times New Roman" w:hAnsi="Times New Roman" w:eastAsia="Times New Roman"/>
          <w:b/>
          <w:bCs/>
          <w:color w:val="000000"/>
          <w:sz w:val="28"/>
          <w:szCs w:val="28"/>
          <w:u w:val="none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u w:val="none"/>
          <w:lang w:eastAsia="uk-UA"/>
        </w:rPr>
        <w:t xml:space="preserve">«Про запобігання корупції»</w:t>
      </w:r>
      <w:r>
        <w:rPr>
          <w:u w:val="none"/>
        </w:rPr>
      </w:r>
      <w:r/>
    </w:p>
    <w:p>
      <w:pPr>
        <w:jc w:val="center"/>
        <w:spacing w:lineRule="atLeast" w:line="301" w:after="0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rFonts w:ascii="Times New Roman" w:hAnsi="Times New Roman" w:eastAsia="Times New Roman"/>
          <w:sz w:val="24"/>
          <w:szCs w:val="24"/>
          <w:u w:val="none"/>
        </w:rPr>
      </w:r>
      <w:r>
        <w:rPr>
          <w:u w:val="none"/>
        </w:rPr>
      </w:r>
      <w:r/>
    </w:p>
    <w:p>
      <w:pPr>
        <w:ind w:right="502"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t xml:space="preserve"> </w:t>
      </w:r>
      <w:bookmarkStart w:id="2" w:name="n165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1. Визначення термінів: пряме підпорядкування, близькі особи, корупційне правопорушення, корупція, потенційний конфлікт інтересів, реальний конфлікт інтересів (</w:t>
      </w:r>
      <w:bookmarkEnd w:id="2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"n6" \o "http://zakon1.rada.gov.ua/laws/show/1700-18/paran6#n6"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66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1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3" w:name="n166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2. Суб’єкти, на яких поширюється дія Закону України «Про запобігання корупції» (</w:t>
      </w:r>
      <w:bookmarkEnd w:id="3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"n24" \o "http://zakon1.rada.gov.ua/laws/show/1700-18/paran24#n24"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66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3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4" w:name="n167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3. Статус Національного агентства з питань запобігання корупції                (</w:t>
      </w:r>
      <w:bookmarkEnd w:id="4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"n42" \o "http://zakon1.rada.gov.ua/laws/show/1700-18/paran42#n42"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66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4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5" w:name="n168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4. Повноваження Національного агентства з питань запобігання корупції (</w:t>
      </w:r>
      <w:bookmarkEnd w:id="5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"n159" \o "http://zakon1.rada.gov.ua/laws/show/1700-18/paran159#n159"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66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11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5. Права Національного агентства з питань запобігання корупції (</w:t>
      </w:r>
      <w:hyperlink r:id="rId16" w:tooltip="http://zakon1.rada.gov.ua/laws/show/1700-18/paran183#n183" w:anchor="n183" w:history="1">
        <w:r>
          <w:rPr>
            <w:rStyle w:val="866"/>
            <w:rFonts w:ascii="Times New Roman" w:hAnsi="Times New Roman" w:eastAsia="Times New Roman"/>
            <w:color w:val="000000"/>
            <w:sz w:val="28"/>
            <w:szCs w:val="28"/>
            <w:u w:val="none"/>
            <w:lang w:eastAsia="uk-UA"/>
          </w:rPr>
          <w:t xml:space="preserve">стаття  12</w:t>
        </w:r>
      </w:hyperlink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6" w:name="n170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6. Контроль за діяльністю Національного агентства з питань запобігання корупції (</w:t>
      </w:r>
      <w:bookmarkEnd w:id="6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"n215" \o "http://zakon1.rada.gov.ua/laws/show/1700-18/paran215#n215"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66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14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7" w:name="n171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7. Національна доповідь щодо реалізації засад антикорупційної політики (</w:t>
      </w:r>
      <w:bookmarkEnd w:id="7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"n260" \o "http://zakon1.rada.gov.ua/laws/show/1700-18/paran260#n260"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66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20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8" w:name="n172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8. Обмеження щодо використання службових повноважень чи свого становища та одержання подарунків (</w:t>
      </w:r>
      <w:bookmarkEnd w:id="8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"n311" \o "http://zakon1.rada.gov.ua/laws/show/1700-18/paran311#n311"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66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статті 22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, </w:t>
      </w:r>
      <w:hyperlink r:id="rId17" w:tooltip="http://zakon1.rada.gov.ua/laws/show/1700-18/paran313#n313" w:anchor="n313" w:history="1">
        <w:r>
          <w:rPr>
            <w:rStyle w:val="866"/>
            <w:rFonts w:ascii="Times New Roman" w:hAnsi="Times New Roman" w:eastAsia="Times New Roman"/>
            <w:color w:val="000000"/>
            <w:sz w:val="28"/>
            <w:szCs w:val="28"/>
            <w:u w:val="none"/>
            <w:lang w:eastAsia="uk-UA"/>
          </w:rPr>
          <w:t xml:space="preserve">23</w:t>
        </w:r>
      </w:hyperlink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9" w:name="n173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9. Обмеження щодо сумісництва та суміщення з іншими видами діяльності та обмеження спільної роботи близьких осіб (</w:t>
      </w:r>
      <w:bookmarkEnd w:id="9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"n335" \o "http://zakon1.rada.gov.ua/laws/show/1700-18/paran335#n335"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66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статті 25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, </w:t>
      </w:r>
      <w:hyperlink r:id="rId18" w:tooltip="http://zakon1.rada.gov.ua/laws/show/1700-18/paran348#n348" w:anchor="n348" w:history="1">
        <w:r>
          <w:rPr>
            <w:rStyle w:val="866"/>
            <w:rFonts w:ascii="Times New Roman" w:hAnsi="Times New Roman" w:eastAsia="Times New Roman"/>
            <w:color w:val="000000"/>
            <w:sz w:val="28"/>
            <w:szCs w:val="28"/>
            <w:u w:val="none"/>
            <w:lang w:eastAsia="uk-UA"/>
          </w:rPr>
          <w:t xml:space="preserve">27</w:t>
        </w:r>
      </w:hyperlink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10" w:name="n174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10. Запобігання та врегулювання конфлікту інтересів (</w:t>
      </w:r>
      <w:bookmarkEnd w:id="10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"n359" \o "http://zakon1.rada.gov.ua/laws/show/1700-18/paran359#n359"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66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28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11" w:name="n175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11. Заходи зовнішнього та самостійного врегулювання конфлікту інтересів (</w:t>
      </w:r>
      <w:bookmarkEnd w:id="11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"n372" \o "http://zakon1.rada.gov.ua/laws/show/1700-18/paran372#n372"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66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29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12" w:name="n176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12. Запобігання конфлікту інтересів у зв’язку з наявністю в особи підприємств чи корпоративних прав (</w:t>
      </w:r>
      <w:bookmarkEnd w:id="12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"n405" \o "http://zakon1.rada.gov.ua/laws/show/1700-18/paran405#n405"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66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36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13" w:name="n177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13. Вимоги до поведінки осіб (</w:t>
      </w:r>
      <w:bookmarkEnd w:id="13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"n417" \o "http://zakon1.rada.gov.ua/laws/show/1700-18/paran417#n417"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66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37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14" w:name="n178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14. Подання декларацій осіб, уповноважених на виконання функцій держави або місцевого самоврядування (</w:t>
      </w:r>
      <w:bookmarkEnd w:id="14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"n439" \o "http://zakon1.rada.gov.ua/laws/show/1700-18/paran439#n439"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66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45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15" w:name="n179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15. </w:t>
      </w:r>
      <w:bookmarkEnd w:id="15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Контроль та перевірка декларацій (стаття 51</w:t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vertAlign w:val="superscript"/>
          <w:lang w:eastAsia="uk-UA"/>
        </w:rPr>
        <w:t xml:space="preserve">1</w:t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</w:t>
      </w:r>
      <w:r>
        <w:rPr>
          <w:rFonts w:ascii="Times New Roman" w:hAnsi="Times New Roman" w:eastAsia="Times New Roman"/>
          <w:sz w:val="24"/>
          <w:szCs w:val="24"/>
          <w:u w:val="none"/>
        </w:rPr>
        <w:t xml:space="preserve"> 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16" w:name="n180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16. Моніторинг способу життя суб’єктів декларування (</w:t>
      </w:r>
      <w:bookmarkEnd w:id="16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"n500" \o "http://zakon1.rada.gov.ua/laws/show/1700-18/paran500#n500"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66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51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sz w:val="24"/>
          <w:szCs w:val="24"/>
          <w:u w:val="none"/>
          <w:vertAlign w:val="superscript"/>
          <w:lang w:eastAsia="uk-UA"/>
        </w:rPr>
        <w:t xml:space="preserve">4</w:t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17" w:name="n181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17. Державний захист викривачів (</w:t>
      </w:r>
      <w:bookmarkEnd w:id="17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"n512" \o "http://zakon1.rada.gov.ua/laws/show/1700-18/paran512#n512"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66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53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18" w:name="n182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18. Заборона на одержання пільг, послуг і майна органами державної влади та органами місцевого самоврядування (</w:t>
      </w:r>
      <w:bookmarkEnd w:id="18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"n526" \o "http://zakon1.rada.gov.ua/laws/show/1700-18/paran526#n526"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66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54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19" w:name="n183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19. Антикорупційна експертиза (</w:t>
      </w:r>
      <w:bookmarkEnd w:id="19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"n529" \o "http://zakon1.rada.gov.ua/laws/show/1700-18/paran529#n529"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66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55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20" w:name="n184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20. Спеціальна перевірка (</w:t>
      </w:r>
      <w:bookmarkEnd w:id="20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"n550" \o "http://zakon1.rada.gov.ua/laws/show/1700-18/paran550#n550"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66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56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21" w:name="n185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21. Загальні засади запобігання корупції у діяльності юридичної особи (</w:t>
      </w:r>
      <w:bookmarkEnd w:id="21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"n649" \o "http://zakon1.rada.gov.ua/laws/show/1700-18/paran649#n649"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66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61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color w:val="000000"/>
          <w:sz w:val="28"/>
          <w:szCs w:val="28"/>
          <w:u w:val="none"/>
        </w:rPr>
      </w:pPr>
      <w:r>
        <w:rPr>
          <w:u w:val="none"/>
        </w:rPr>
      </w:r>
      <w:bookmarkStart w:id="22" w:name="n186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22. Відповідальність за корупційні або пов’язані з корупцією правопорушення (</w:t>
      </w:r>
      <w:bookmarkEnd w:id="22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"n701" \o "http://zakon1.rada.gov.ua/laws/show/1700-18/paran701#n701"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66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65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sz w:val="24"/>
          <w:szCs w:val="24"/>
          <w:u w:val="none"/>
          <w:vertAlign w:val="superscript"/>
          <w:lang w:eastAsia="uk-UA"/>
        </w:rPr>
        <w:t xml:space="preserve">1</w:t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r>
      <w:r/>
    </w:p>
    <w:p>
      <w:pPr>
        <w:ind w:firstLine="709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4"/>
          <w:szCs w:val="24"/>
          <w:lang w:eastAsia="uk-UA"/>
        </w:rPr>
        <w:t xml:space="preserve"> 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ІV. Питання на перевірку знання Закону України </w:t>
      </w:r>
      <w:r/>
    </w:p>
    <w:p>
      <w:pPr>
        <w:ind w:firstLine="709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«Про місцеве самоврядування в Україні»</w:t>
      </w:r>
      <w:r/>
    </w:p>
    <w:p>
      <w:pPr>
        <w:ind w:firstLine="709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ind w:firstLine="708"/>
        <w:spacing w:lineRule="atLeast" w:line="301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1. Поняття місцевого самоврядування (стаття 2). Право на участь у місцевому самоврядуванні (стаття 3).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2. Громадські слухання (стаття 13).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3. Відносини органів місцевого самоврядування з підприємствами, установами та організаціями, що не перебувають у комунальній власності відповідної територіальної громади (стаття 18).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4. Порядок формування рад (стаття 45).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5. Організація роботи виконавчого комітету (стаття 53).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6. Депутат ради (стаття 49).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7. Сільський, селищний, міський голова (стаття 12).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8. Сесія ради (стаття 46).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9. Постійні комісії ради (стаття 47).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10.Секретар сільської, селищної, міської ради (стаття 50).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11. Місцеві бюджети (стаття 61).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12. Символіка територіальних громад сіл, селищ, міст, районів і областей (стаття 22). Підняття Державного Прапора України (стаття 23).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13. Дострокове припинення повноважень сільського, селищного, міського голови (стаття 79).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14. Відповідальність органів та посадових осіб місцевого самоврядування перед державою (стаття 76).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15. Виконавчі органи рад (стаття 11).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16. Дострокове припинення повноважень ради (стаття 78).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17. Законодавство про місцеве самоврядування (стаття 24).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highlight w:val="none"/>
          <w:lang w:eastAsia="uk-UA"/>
        </w:rPr>
      </w:pPr>
      <w:r>
        <w:rPr>
          <w:rFonts w:ascii="Times New Roman" w:hAnsi="Times New Roman" w:eastAsia="Times New Roman"/>
          <w:sz w:val="24"/>
          <w:szCs w:val="24"/>
          <w:lang w:eastAsia="uk-UA"/>
        </w:rPr>
        <w:t xml:space="preserve"> </w:t>
      </w:r>
      <w:r/>
    </w:p>
    <w:p>
      <w:pPr>
        <w:pStyle w:val="3_639"/>
        <w:ind w:right="-1"/>
        <w:jc w:val="center"/>
        <w:spacing w:after="450" w:afterAutospacing="0" w:before="300" w:beforeAutospacing="0"/>
        <w:shd w:val="clear" w:color="FFFFFF"/>
        <w:rPr>
          <w:color w:val="333333"/>
          <w:lang w:val="uk-UA"/>
        </w:rPr>
      </w:pPr>
      <w:r>
        <w:rPr>
          <w:rStyle w:val="869"/>
          <w:b/>
          <w:bCs/>
          <w:color w:val="333333"/>
          <w:sz w:val="28"/>
          <w:szCs w:val="28"/>
          <w:lang w:val="uk-UA"/>
        </w:rPr>
        <w:t xml:space="preserve">V. Перелік питань для перевірки знань законодавства у сфері </w:t>
      </w:r>
      <w:r>
        <w:rPr>
          <w:rStyle w:val="869"/>
          <w:b/>
          <w:bCs/>
          <w:color w:val="333333"/>
          <w:sz w:val="28"/>
          <w:szCs w:val="28"/>
          <w:lang w:val="uk-UA"/>
        </w:rPr>
        <w:t xml:space="preserve">з питань </w:t>
      </w:r>
      <w:r>
        <w:rPr>
          <w:rStyle w:val="869"/>
          <w:b/>
          <w:bCs/>
          <w:color w:val="333333"/>
          <w:sz w:val="28"/>
          <w:szCs w:val="28"/>
          <w:lang w:val="uk-UA"/>
        </w:rPr>
        <w:t xml:space="preserve">цивільного захисту України</w:t>
      </w:r>
      <w:r>
        <w:rPr>
          <w:rStyle w:val="869"/>
          <w:b/>
          <w:bCs/>
          <w:color w:val="333333"/>
          <w:sz w:val="28"/>
          <w:szCs w:val="28"/>
          <w:lang w:val="uk-UA"/>
        </w:rPr>
        <w:t xml:space="preserve">, відповідно до </w:t>
      </w:r>
      <w:bookmarkStart w:id="0" w:name="_Hlk61865175"/>
      <w:r>
        <w:rPr>
          <w:rStyle w:val="869"/>
          <w:b/>
          <w:bCs/>
          <w:color w:val="333333"/>
          <w:sz w:val="28"/>
          <w:szCs w:val="28"/>
          <w:lang w:val="uk-UA"/>
        </w:rPr>
        <w:t xml:space="preserve">Кодексу цивільного захисту </w:t>
      </w:r>
      <w:r>
        <w:rPr>
          <w:rStyle w:val="869"/>
          <w:b/>
          <w:bCs/>
          <w:color w:val="333333"/>
          <w:sz w:val="28"/>
          <w:szCs w:val="28"/>
          <w:lang w:val="uk-UA"/>
        </w:rPr>
        <w:t xml:space="preserve">України </w:t>
      </w:r>
      <w:bookmarkStart w:id="1" w:name="_Hlk61866809"/>
      <w:r/>
      <w:bookmarkEnd w:id="0"/>
      <w:r>
        <w:rPr>
          <w:rStyle w:val="869"/>
          <w:b/>
          <w:bCs/>
          <w:color w:val="333333"/>
          <w:sz w:val="28"/>
          <w:szCs w:val="28"/>
          <w:lang w:val="uk-UA"/>
        </w:rPr>
        <w:t xml:space="preserve">та </w:t>
      </w:r>
      <w:bookmarkEnd w:id="1"/>
      <w:r>
        <w:rPr>
          <w:rStyle w:val="869"/>
          <w:b/>
          <w:bCs/>
          <w:color w:val="333333"/>
          <w:sz w:val="28"/>
          <w:szCs w:val="28"/>
          <w:lang w:val="uk-UA"/>
        </w:rPr>
        <w:t xml:space="preserve">на посаду </w:t>
      </w:r>
      <w:r>
        <w:rPr>
          <w:rStyle w:val="869"/>
          <w:b/>
          <w:bCs/>
          <w:color w:val="333333"/>
          <w:sz w:val="28"/>
          <w:szCs w:val="28"/>
          <w:lang w:val="uk-UA"/>
        </w:rPr>
        <w:t xml:space="preserve">завідувача сектору з питань цивільного захисту населення та роботи з правоохоронними органами</w:t>
      </w:r>
      <w:r>
        <w:rPr>
          <w:rStyle w:val="869"/>
          <w:b/>
          <w:bCs/>
          <w:color w:val="333333"/>
          <w:sz w:val="28"/>
          <w:szCs w:val="28"/>
          <w:lang w:val="uk-UA"/>
        </w:rPr>
        <w:t xml:space="preserve"> Менської міської ради.</w:t>
      </w:r>
      <w:r>
        <w:rPr>
          <w:rStyle w:val="869"/>
          <w:b/>
          <w:bCs/>
          <w:color w:val="333333"/>
          <w:sz w:val="28"/>
          <w:szCs w:val="28"/>
          <w:lang w:val="uk-UA"/>
        </w:rPr>
      </w:r>
      <w:r>
        <w:rPr>
          <w:rStyle w:val="869"/>
        </w:rPr>
      </w:r>
    </w:p>
    <w:p>
      <w:pPr>
        <w:pStyle w:val="864"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визначення термінів: аварія, катастрофа, надзвичайна ситуація, небезпечна подія, стихійне лихо, відповідно до ст.2 Кодексу цивільного захисту України.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64"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надзвичайних ситуацій,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відповідно до ст.5 Кодексу цивільного захисту України.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64"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Суб'єкти  забезпечення цивільного захисту,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відповідно до ст.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6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Кодексу цивільного захисту України.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64"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Основні принципи здійснення цивільного захисту, відповідно до ст.7 Кодексу цивільного захисту України.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64"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Єдина державна система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цивільного захисту,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відповідно до ст.8 Кодексу цивільного захисту України.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64"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Режими функціонування єдиної державної системи цивільного захисту,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відповідно до ст.11 Кодексу цивільного захисту України.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64"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Повноваження місцевих державних адміністрацій, органів місцевого самоврядування у сфері цивільного захисту,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відповідно до ст.19 Кодексу цивільного захисту України.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64"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Завдання і обов'язк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и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суб'єктів господарювання у сфері цивільного захисту, відповідно до ст.20 Кодексу цивільного захисту України.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64"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Права і обов'язки громадян у сфері цивільного захисту,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відповідно до ст.21 Кодексу цивільного захисту України.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64"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 та основні завдання сил цивільного захисту,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відповідно до ст.2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Кодексу цивільного захисту України.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64"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Формування цивільного захисту , відповідно до ст.26 Кодексу цивільного захисту України.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64"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Оповіщення про загрозу або виникнення надзвичайних ситуацій,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відповідно до ст.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30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Кодексу цивільного захисту України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64"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Укриття населення у захисних спорудах цивільного захисту,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відповідно до ст.32 Кодексу цивільного захисту України.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64"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Заходи з евакуації, відповідно до ст.33 Кодексу цивільного захисту України.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64"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 навчання населення діям у надзвичайних ситуаціях,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відповідно до ст.39 Кодексу цивільного захисту України.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64"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Навчання учнів, студентів та дітей дошкільного віку, формування культури безпеки життєдіяльності населення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відповідно до ст.41 Кодексу цивільного захисту України.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64"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 і прогнозування надзвичайних ситуацій,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відповідно до ст.43 Кодексу цивільного захисту України.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64"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Джерела небезпеки виникнення надзвичайних ситуацій техногенного характеру,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відповідно до ст.50 Кодексу цивільного захисту України.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64"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техногенної безпеки органами державної влади, органами місцевого самоврядування, суб'єктами господарювання,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відповідно до ст.51 Кодексу цивільного захисту України.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64"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робіт з ліквідації наслідків  надзвичайних ситуацій,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відповідно до ст.71 Кодексу цивільного захисту України.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64"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Соціальний захист постраждалих,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відповідно до ст.84 Кодексу цивільного захисту України.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64"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Навчання керівного складу та фахівців, діяльність яких пов'язана з організацією і здійсненням заходів з питань цивільного захисту,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відповідно до ст.91 Кодексу цивільного захисту України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64"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Оборонна робота України, відповідно до ст. 2 Закону України «Про оборонну роботу».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64"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Діяльність органів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місцевого самоврядування у сфері оборони,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відповідно до ст.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15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Закону України «Про оборонну роботу».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64"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 підприємств, установ та організацій і обов'язки їх посадових осіб у сфері оборони,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відповідно до ст.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16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Закону України «Про оборонну роботу».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64"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Права та обов'язки громадян України у сфері оборони,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ст.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17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Закону України «Про оборонну роботу».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64"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Органи місцевого самоврядування,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відповідно до ст.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18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Закону України «Про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мобілізаційну підготовку та мобілізацію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».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64"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Взаємодія поліції з органами державної влади та органами місцевого самоврядування,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відповідно до ст.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5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Закону України «Про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Національну поліцію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».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64"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Взаємодія між керівниками територіальних органів поліції та представниками органів місцевого самоврядування,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відповідно до ст.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88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Закону України «Про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Національну поліцію</w:t>
      </w:r>
      <w:bookmarkStart w:id="2" w:name="_GoBack"/>
      <w:r/>
      <w:bookmarkEnd w:id="2"/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».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sz w:val="24"/>
          <w:szCs w:val="24"/>
          <w:highlight w:val="none"/>
          <w:lang w:eastAsia="uk-UA"/>
        </w:rPr>
      </w:r>
      <w:r>
        <w:rPr>
          <w:rFonts w:ascii="Times New Roman" w:hAnsi="Times New Roman" w:eastAsia="Times New Roman"/>
          <w:sz w:val="24"/>
          <w:szCs w:val="24"/>
          <w:highlight w:val="none"/>
          <w:lang w:eastAsia="uk-UA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  <w:jc w:val="center"/>
    </w:pPr>
    <w:fldSimple w:instr="PAGE \* MERGEFORMAT">
      <w:r>
        <w:t xml:space="preserve">1</w:t>
      </w:r>
    </w:fldSimple>
    <w:r/>
    <w:r/>
  </w:p>
  <w:p>
    <w:pPr>
      <w:pStyle w:val="71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23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774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846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918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990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1062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1134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206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278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4">
    <w:name w:val="Heading 1"/>
    <w:basedOn w:val="860"/>
    <w:next w:val="860"/>
    <w:link w:val="68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5">
    <w:name w:val="Heading 1 Char"/>
    <w:basedOn w:val="861"/>
    <w:link w:val="684"/>
    <w:uiPriority w:val="9"/>
    <w:rPr>
      <w:rFonts w:ascii="Arial" w:hAnsi="Arial" w:cs="Arial" w:eastAsia="Arial"/>
      <w:sz w:val="40"/>
      <w:szCs w:val="40"/>
    </w:rPr>
  </w:style>
  <w:style w:type="paragraph" w:styleId="686">
    <w:name w:val="Heading 2"/>
    <w:basedOn w:val="860"/>
    <w:next w:val="860"/>
    <w:link w:val="68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7">
    <w:name w:val="Heading 2 Char"/>
    <w:basedOn w:val="861"/>
    <w:link w:val="686"/>
    <w:uiPriority w:val="9"/>
    <w:rPr>
      <w:rFonts w:ascii="Arial" w:hAnsi="Arial" w:cs="Arial" w:eastAsia="Arial"/>
      <w:sz w:val="34"/>
    </w:rPr>
  </w:style>
  <w:style w:type="paragraph" w:styleId="688">
    <w:name w:val="Heading 3"/>
    <w:basedOn w:val="860"/>
    <w:next w:val="860"/>
    <w:link w:val="68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9">
    <w:name w:val="Heading 3 Char"/>
    <w:basedOn w:val="861"/>
    <w:link w:val="688"/>
    <w:uiPriority w:val="9"/>
    <w:rPr>
      <w:rFonts w:ascii="Arial" w:hAnsi="Arial" w:cs="Arial" w:eastAsia="Arial"/>
      <w:sz w:val="30"/>
      <w:szCs w:val="30"/>
    </w:rPr>
  </w:style>
  <w:style w:type="paragraph" w:styleId="690">
    <w:name w:val="Heading 4"/>
    <w:basedOn w:val="860"/>
    <w:next w:val="860"/>
    <w:link w:val="69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1">
    <w:name w:val="Heading 4 Char"/>
    <w:basedOn w:val="861"/>
    <w:link w:val="690"/>
    <w:uiPriority w:val="9"/>
    <w:rPr>
      <w:rFonts w:ascii="Arial" w:hAnsi="Arial" w:cs="Arial" w:eastAsia="Arial"/>
      <w:b/>
      <w:bCs/>
      <w:sz w:val="26"/>
      <w:szCs w:val="26"/>
    </w:rPr>
  </w:style>
  <w:style w:type="paragraph" w:styleId="692">
    <w:name w:val="Heading 5"/>
    <w:basedOn w:val="860"/>
    <w:next w:val="860"/>
    <w:link w:val="69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3">
    <w:name w:val="Heading 5 Char"/>
    <w:basedOn w:val="861"/>
    <w:link w:val="692"/>
    <w:uiPriority w:val="9"/>
    <w:rPr>
      <w:rFonts w:ascii="Arial" w:hAnsi="Arial" w:cs="Arial" w:eastAsia="Arial"/>
      <w:b/>
      <w:bCs/>
      <w:sz w:val="24"/>
      <w:szCs w:val="24"/>
    </w:rPr>
  </w:style>
  <w:style w:type="paragraph" w:styleId="694">
    <w:name w:val="Heading 6"/>
    <w:basedOn w:val="860"/>
    <w:next w:val="860"/>
    <w:link w:val="69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5">
    <w:name w:val="Heading 6 Char"/>
    <w:basedOn w:val="861"/>
    <w:link w:val="694"/>
    <w:uiPriority w:val="9"/>
    <w:rPr>
      <w:rFonts w:ascii="Arial" w:hAnsi="Arial" w:cs="Arial" w:eastAsia="Arial"/>
      <w:b/>
      <w:bCs/>
      <w:sz w:val="22"/>
      <w:szCs w:val="22"/>
    </w:rPr>
  </w:style>
  <w:style w:type="paragraph" w:styleId="696">
    <w:name w:val="Heading 7"/>
    <w:basedOn w:val="860"/>
    <w:next w:val="860"/>
    <w:link w:val="69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7">
    <w:name w:val="Heading 7 Char"/>
    <w:basedOn w:val="861"/>
    <w:link w:val="6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8">
    <w:name w:val="Heading 8"/>
    <w:basedOn w:val="860"/>
    <w:next w:val="860"/>
    <w:link w:val="69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9">
    <w:name w:val="Heading 8 Char"/>
    <w:basedOn w:val="861"/>
    <w:link w:val="698"/>
    <w:uiPriority w:val="9"/>
    <w:rPr>
      <w:rFonts w:ascii="Arial" w:hAnsi="Arial" w:cs="Arial" w:eastAsia="Arial"/>
      <w:i/>
      <w:iCs/>
      <w:sz w:val="22"/>
      <w:szCs w:val="22"/>
    </w:rPr>
  </w:style>
  <w:style w:type="paragraph" w:styleId="700">
    <w:name w:val="Heading 9"/>
    <w:basedOn w:val="860"/>
    <w:next w:val="860"/>
    <w:link w:val="70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1">
    <w:name w:val="Heading 9 Char"/>
    <w:basedOn w:val="861"/>
    <w:link w:val="700"/>
    <w:uiPriority w:val="9"/>
    <w:rPr>
      <w:rFonts w:ascii="Arial" w:hAnsi="Arial" w:cs="Arial" w:eastAsia="Arial"/>
      <w:i/>
      <w:iCs/>
      <w:sz w:val="21"/>
      <w:szCs w:val="21"/>
    </w:rPr>
  </w:style>
  <w:style w:type="paragraph" w:styleId="702">
    <w:name w:val="List Paragraph"/>
    <w:basedOn w:val="860"/>
    <w:qFormat/>
    <w:uiPriority w:val="34"/>
    <w:pPr>
      <w:contextualSpacing w:val="true"/>
      <w:ind w:left="720"/>
    </w:pPr>
  </w:style>
  <w:style w:type="paragraph" w:styleId="703">
    <w:name w:val="Title"/>
    <w:basedOn w:val="860"/>
    <w:next w:val="860"/>
    <w:link w:val="7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4">
    <w:name w:val="Title Char"/>
    <w:basedOn w:val="861"/>
    <w:link w:val="703"/>
    <w:uiPriority w:val="10"/>
    <w:rPr>
      <w:sz w:val="48"/>
      <w:szCs w:val="48"/>
    </w:rPr>
  </w:style>
  <w:style w:type="paragraph" w:styleId="705">
    <w:name w:val="Subtitle"/>
    <w:basedOn w:val="860"/>
    <w:next w:val="860"/>
    <w:link w:val="706"/>
    <w:qFormat/>
    <w:uiPriority w:val="11"/>
    <w:rPr>
      <w:sz w:val="24"/>
      <w:szCs w:val="24"/>
    </w:rPr>
    <w:pPr>
      <w:spacing w:after="200" w:before="200"/>
    </w:pPr>
  </w:style>
  <w:style w:type="character" w:styleId="706">
    <w:name w:val="Subtitle Char"/>
    <w:basedOn w:val="861"/>
    <w:link w:val="705"/>
    <w:uiPriority w:val="11"/>
    <w:rPr>
      <w:sz w:val="24"/>
      <w:szCs w:val="24"/>
    </w:rPr>
  </w:style>
  <w:style w:type="paragraph" w:styleId="707">
    <w:name w:val="Quote"/>
    <w:basedOn w:val="860"/>
    <w:next w:val="860"/>
    <w:link w:val="708"/>
    <w:qFormat/>
    <w:uiPriority w:val="29"/>
    <w:rPr>
      <w:i/>
    </w:rPr>
    <w:pPr>
      <w:ind w:left="720" w:right="720"/>
    </w:pPr>
  </w:style>
  <w:style w:type="character" w:styleId="708">
    <w:name w:val="Quote Char"/>
    <w:link w:val="707"/>
    <w:uiPriority w:val="29"/>
    <w:rPr>
      <w:i/>
    </w:rPr>
  </w:style>
  <w:style w:type="paragraph" w:styleId="709">
    <w:name w:val="Intense Quote"/>
    <w:basedOn w:val="860"/>
    <w:next w:val="860"/>
    <w:link w:val="71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>
    <w:name w:val="Intense Quote Char"/>
    <w:link w:val="709"/>
    <w:uiPriority w:val="30"/>
    <w:rPr>
      <w:i/>
    </w:rPr>
  </w:style>
  <w:style w:type="paragraph" w:styleId="711">
    <w:name w:val="Header"/>
    <w:basedOn w:val="860"/>
    <w:link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2">
    <w:name w:val="Header Char"/>
    <w:basedOn w:val="861"/>
    <w:link w:val="711"/>
    <w:uiPriority w:val="99"/>
  </w:style>
  <w:style w:type="paragraph" w:styleId="713">
    <w:name w:val="Footer"/>
    <w:basedOn w:val="860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>
    <w:name w:val="Footer Char"/>
    <w:basedOn w:val="861"/>
    <w:link w:val="713"/>
    <w:uiPriority w:val="99"/>
  </w:style>
  <w:style w:type="paragraph" w:styleId="715">
    <w:name w:val="Caption"/>
    <w:basedOn w:val="860"/>
    <w:next w:val="86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6">
    <w:name w:val="Caption Char"/>
    <w:basedOn w:val="715"/>
    <w:link w:val="713"/>
    <w:uiPriority w:val="99"/>
  </w:style>
  <w:style w:type="table" w:styleId="717">
    <w:name w:val="Table Grid"/>
    <w:basedOn w:val="8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Table Grid Light"/>
    <w:basedOn w:val="8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Plain Table 1"/>
    <w:basedOn w:val="8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basedOn w:val="8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>
    <w:name w:val="Grid Table 1 Light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4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>
    <w:name w:val="Grid Table 4 - Accent 1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7">
    <w:name w:val="Grid Table 4 - Accent 2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8">
    <w:name w:val="Grid Table 4 - Accent 3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9">
    <w:name w:val="Grid Table 4 - Accent 4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0">
    <w:name w:val="Grid Table 4 - Accent 5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1">
    <w:name w:val="Grid Table 4 - Accent 6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2">
    <w:name w:val="Grid Table 5 Dark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3">
    <w:name w:val="Grid Table 5 Dark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6">
    <w:name w:val="Grid Table 5 Dark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9">
    <w:name w:val="Grid Table 6 Colorful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0">
    <w:name w:val="Grid Table 6 Colorful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1">
    <w:name w:val="Grid Table 6 Colorful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2">
    <w:name w:val="Grid Table 6 Colorful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3">
    <w:name w:val="Grid Table 6 Colorful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4">
    <w:name w:val="Grid Table 6 Colorful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6 Colorful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7 Colorful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1">
    <w:name w:val="List Table 2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2">
    <w:name w:val="List Table 2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3">
    <w:name w:val="List Table 2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4">
    <w:name w:val="List Table 2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5">
    <w:name w:val="List Table 2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6">
    <w:name w:val="List Table 2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7">
    <w:name w:val="List Table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5 Dark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6 Colorful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9">
    <w:name w:val="List Table 6 Colorful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0">
    <w:name w:val="List Table 6 Colorful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1">
    <w:name w:val="List Table 6 Colorful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2">
    <w:name w:val="List Table 6 Colorful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3">
    <w:name w:val="List Table 6 Colorful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4">
    <w:name w:val="List Table 6 Colorful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5">
    <w:name w:val="List Table 7 Colorful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6">
    <w:name w:val="List Table 7 Colorful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17">
    <w:name w:val="List Table 7 Colorful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8">
    <w:name w:val="List Table 7 Colorful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9">
    <w:name w:val="List Table 7 Colorful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0">
    <w:name w:val="List Table 7 Colorful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21">
    <w:name w:val="List Table 7 Colorful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2">
    <w:name w:val="Lined - Accent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3">
    <w:name w:val="Lined - Accent 1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4">
    <w:name w:val="Lined - Accent 2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5">
    <w:name w:val="Lined - Accent 3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6">
    <w:name w:val="Lined - Accent 4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7">
    <w:name w:val="Lined - Accent 5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8">
    <w:name w:val="Lined - Accent 6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9">
    <w:name w:val="Bordered &amp; Lined - Accent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0">
    <w:name w:val="Bordered &amp; Lined - Accent 1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1">
    <w:name w:val="Bordered &amp; Lined - Accent 2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2">
    <w:name w:val="Bordered &amp; Lined - Accent 3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3">
    <w:name w:val="Bordered &amp; Lined - Accent 4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4">
    <w:name w:val="Bordered &amp; Lined - Accent 5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5">
    <w:name w:val="Bordered &amp; Lined - Accent 6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6">
    <w:name w:val="Bordered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7">
    <w:name w:val="Bordered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8">
    <w:name w:val="Bordered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9">
    <w:name w:val="Bordered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0">
    <w:name w:val="Bordered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1">
    <w:name w:val="Bordered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2">
    <w:name w:val="Bordered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43">
    <w:name w:val="footnote text"/>
    <w:basedOn w:val="860"/>
    <w:link w:val="844"/>
    <w:uiPriority w:val="99"/>
    <w:semiHidden/>
    <w:unhideWhenUsed/>
    <w:rPr>
      <w:sz w:val="18"/>
    </w:rPr>
    <w:pPr>
      <w:spacing w:lineRule="auto" w:line="240" w:after="40"/>
    </w:pPr>
  </w:style>
  <w:style w:type="character" w:styleId="844">
    <w:name w:val="Footnote Text Char"/>
    <w:link w:val="843"/>
    <w:uiPriority w:val="99"/>
    <w:rPr>
      <w:sz w:val="18"/>
    </w:rPr>
  </w:style>
  <w:style w:type="character" w:styleId="845">
    <w:name w:val="footnote reference"/>
    <w:basedOn w:val="861"/>
    <w:uiPriority w:val="99"/>
    <w:unhideWhenUsed/>
    <w:rPr>
      <w:vertAlign w:val="superscript"/>
    </w:rPr>
  </w:style>
  <w:style w:type="paragraph" w:styleId="846">
    <w:name w:val="endnote text"/>
    <w:basedOn w:val="860"/>
    <w:link w:val="847"/>
    <w:uiPriority w:val="99"/>
    <w:semiHidden/>
    <w:unhideWhenUsed/>
    <w:rPr>
      <w:sz w:val="20"/>
    </w:rPr>
    <w:pPr>
      <w:spacing w:lineRule="auto" w:line="240" w:after="0"/>
    </w:pPr>
  </w:style>
  <w:style w:type="character" w:styleId="847">
    <w:name w:val="Endnote Text Char"/>
    <w:link w:val="846"/>
    <w:uiPriority w:val="99"/>
    <w:rPr>
      <w:sz w:val="20"/>
    </w:rPr>
  </w:style>
  <w:style w:type="character" w:styleId="848">
    <w:name w:val="endnote reference"/>
    <w:basedOn w:val="861"/>
    <w:uiPriority w:val="99"/>
    <w:semiHidden/>
    <w:unhideWhenUsed/>
    <w:rPr>
      <w:vertAlign w:val="superscript"/>
    </w:rPr>
  </w:style>
  <w:style w:type="paragraph" w:styleId="849">
    <w:name w:val="toc 1"/>
    <w:basedOn w:val="860"/>
    <w:next w:val="860"/>
    <w:uiPriority w:val="39"/>
    <w:unhideWhenUsed/>
    <w:pPr>
      <w:ind w:left="0" w:right="0" w:firstLine="0"/>
      <w:spacing w:after="57"/>
    </w:pPr>
  </w:style>
  <w:style w:type="paragraph" w:styleId="850">
    <w:name w:val="toc 2"/>
    <w:basedOn w:val="860"/>
    <w:next w:val="860"/>
    <w:uiPriority w:val="39"/>
    <w:unhideWhenUsed/>
    <w:pPr>
      <w:ind w:left="283" w:right="0" w:firstLine="0"/>
      <w:spacing w:after="57"/>
    </w:pPr>
  </w:style>
  <w:style w:type="paragraph" w:styleId="851">
    <w:name w:val="toc 3"/>
    <w:basedOn w:val="860"/>
    <w:next w:val="860"/>
    <w:uiPriority w:val="39"/>
    <w:unhideWhenUsed/>
    <w:pPr>
      <w:ind w:left="567" w:right="0" w:firstLine="0"/>
      <w:spacing w:after="57"/>
    </w:pPr>
  </w:style>
  <w:style w:type="paragraph" w:styleId="852">
    <w:name w:val="toc 4"/>
    <w:basedOn w:val="860"/>
    <w:next w:val="860"/>
    <w:uiPriority w:val="39"/>
    <w:unhideWhenUsed/>
    <w:pPr>
      <w:ind w:left="850" w:right="0" w:firstLine="0"/>
      <w:spacing w:after="57"/>
    </w:pPr>
  </w:style>
  <w:style w:type="paragraph" w:styleId="853">
    <w:name w:val="toc 5"/>
    <w:basedOn w:val="860"/>
    <w:next w:val="860"/>
    <w:uiPriority w:val="39"/>
    <w:unhideWhenUsed/>
    <w:pPr>
      <w:ind w:left="1134" w:right="0" w:firstLine="0"/>
      <w:spacing w:after="57"/>
    </w:pPr>
  </w:style>
  <w:style w:type="paragraph" w:styleId="854">
    <w:name w:val="toc 6"/>
    <w:basedOn w:val="860"/>
    <w:next w:val="860"/>
    <w:uiPriority w:val="39"/>
    <w:unhideWhenUsed/>
    <w:pPr>
      <w:ind w:left="1417" w:right="0" w:firstLine="0"/>
      <w:spacing w:after="57"/>
    </w:pPr>
  </w:style>
  <w:style w:type="paragraph" w:styleId="855">
    <w:name w:val="toc 7"/>
    <w:basedOn w:val="860"/>
    <w:next w:val="860"/>
    <w:uiPriority w:val="39"/>
    <w:unhideWhenUsed/>
    <w:pPr>
      <w:ind w:left="1701" w:right="0" w:firstLine="0"/>
      <w:spacing w:after="57"/>
    </w:pPr>
  </w:style>
  <w:style w:type="paragraph" w:styleId="856">
    <w:name w:val="toc 8"/>
    <w:basedOn w:val="860"/>
    <w:next w:val="860"/>
    <w:uiPriority w:val="39"/>
    <w:unhideWhenUsed/>
    <w:pPr>
      <w:ind w:left="1984" w:right="0" w:firstLine="0"/>
      <w:spacing w:after="57"/>
    </w:pPr>
  </w:style>
  <w:style w:type="paragraph" w:styleId="857">
    <w:name w:val="toc 9"/>
    <w:basedOn w:val="860"/>
    <w:next w:val="860"/>
    <w:uiPriority w:val="39"/>
    <w:unhideWhenUsed/>
    <w:pPr>
      <w:ind w:left="2268" w:right="0" w:firstLine="0"/>
      <w:spacing w:after="57"/>
    </w:pPr>
  </w:style>
  <w:style w:type="paragraph" w:styleId="858">
    <w:name w:val="TOC Heading"/>
    <w:uiPriority w:val="39"/>
    <w:unhideWhenUsed/>
  </w:style>
  <w:style w:type="paragraph" w:styleId="859">
    <w:name w:val="table of figures"/>
    <w:basedOn w:val="860"/>
    <w:next w:val="860"/>
    <w:uiPriority w:val="99"/>
    <w:unhideWhenUsed/>
    <w:pPr>
      <w:spacing w:after="0" w:afterAutospacing="0"/>
    </w:pPr>
  </w:style>
  <w:style w:type="paragraph" w:styleId="860" w:default="1">
    <w:name w:val="Normal"/>
    <w:qFormat/>
    <w:rPr>
      <w:rFonts w:ascii="Calibri" w:hAnsi="Calibri" w:cs="Times New Roman" w:eastAsia="Calibri"/>
      <w:lang w:val="uk-UA"/>
    </w:rPr>
    <w:pPr>
      <w:spacing w:lineRule="auto" w:line="276" w:after="200"/>
    </w:pPr>
  </w:style>
  <w:style w:type="character" w:styleId="861" w:default="1">
    <w:name w:val="Default Paragraph Font"/>
    <w:uiPriority w:val="1"/>
    <w:semiHidden/>
    <w:unhideWhenUsed/>
  </w:style>
  <w:style w:type="table" w:styleId="8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3" w:default="1">
    <w:name w:val="No List"/>
    <w:uiPriority w:val="99"/>
    <w:semiHidden/>
    <w:unhideWhenUsed/>
  </w:style>
  <w:style w:type="paragraph" w:styleId="864">
    <w:name w:val="No Spacing"/>
    <w:qFormat/>
    <w:uiPriority w:val="1"/>
    <w:rPr>
      <w:rFonts w:ascii="Calibri" w:hAnsi="Calibri" w:cs="Times New Roman" w:eastAsia="Calibri"/>
      <w:lang w:val="uk-UA"/>
    </w:rPr>
    <w:pPr>
      <w:spacing w:lineRule="auto" w:line="240" w:after="0"/>
    </w:pPr>
  </w:style>
  <w:style w:type="paragraph" w:styleId="865">
    <w:name w:val="Normal (Web)"/>
    <w:basedOn w:val="860"/>
    <w:uiPriority w:val="99"/>
    <w:semiHidden/>
    <w:unhideWhenUsed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66">
    <w:name w:val="Hyperlink"/>
    <w:basedOn w:val="861"/>
    <w:uiPriority w:val="99"/>
    <w:semiHidden/>
    <w:unhideWhenUsed/>
    <w:rPr>
      <w:color w:val="0563C1" w:themeColor="hyperlink"/>
      <w:u w:val="single"/>
    </w:rPr>
  </w:style>
  <w:style w:type="paragraph" w:styleId="867" w:customStyle="1">
    <w:name w:val="Обычный"/>
    <w:uiPriority w:val="99"/>
    <w:semiHidden/>
    <w:rPr>
      <w:rFonts w:ascii="Calibri" w:hAnsi="Calibri" w:cs="Times New Roman" w:eastAsia="Calibri"/>
      <w:lang w:val="uk-UA"/>
    </w:rPr>
    <w:pPr>
      <w:spacing w:lineRule="auto" w:line="276" w:after="200"/>
    </w:pPr>
  </w:style>
  <w:style w:type="character" w:styleId="868" w:customStyle="1">
    <w:name w:val="rvts15"/>
  </w:style>
  <w:style w:type="character" w:styleId="869" w:customStyle="1">
    <w:name w:val="rvts23"/>
    <w:basedOn w:val="861"/>
  </w:style>
  <w:style w:type="paragraph" w:styleId="870" w:customStyle="1">
    <w:name w:val="docdata"/>
    <w:basedOn w:val="860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3_639" w:customStyle="1">
    <w:name w:val="rvps6"/>
    <w:basedOn w:val="421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image" Target="media/image1.png"/><Relationship Id="rId15" Type="http://schemas.openxmlformats.org/officeDocument/2006/relationships/hyperlink" Target="file:///C:\Users\User\Downloads\&#1076;&#1086;&#1076;&#1072;&#1090;&#1086;&#1082;%20350.docx" TargetMode="External"/><Relationship Id="rId16" Type="http://schemas.openxmlformats.org/officeDocument/2006/relationships/hyperlink" Target="file:///C:\Users\User\Downloads\&#1076;&#1086;&#1076;&#1072;&#1090;&#1086;&#1082;%20350.docx" TargetMode="External"/><Relationship Id="rId17" Type="http://schemas.openxmlformats.org/officeDocument/2006/relationships/hyperlink" Target="file:///C:\Users\User\Downloads\&#1076;&#1086;&#1076;&#1072;&#1090;&#1086;&#1082;%20350.docx" TargetMode="External"/><Relationship Id="rId18" Type="http://schemas.openxmlformats.org/officeDocument/2006/relationships/hyperlink" Target="file:///C:\Users\User\Downloads\&#1076;&#1086;&#1076;&#1072;&#1090;&#1086;&#1082;%20350.docx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Жураковська Альона Володимирівна</cp:lastModifiedBy>
  <cp:revision>5</cp:revision>
  <dcterms:created xsi:type="dcterms:W3CDTF">2022-01-21T09:38:00Z</dcterms:created>
  <dcterms:modified xsi:type="dcterms:W3CDTF">2022-01-24T09:06:27Z</dcterms:modified>
</cp:coreProperties>
</file>