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color w:val="000000"/>
          <w:highlight w:val="none"/>
          <w:lang w:eastAsia="ru-RU"/>
        </w:rPr>
      </w:pPr>
      <w:r>
        <w:rPr>
          <w:color w:val="00000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sz w:val="28"/>
        </w:rPr>
      </w:pPr>
      <w:r>
        <w:rPr>
          <w:color w:val="000000"/>
          <w:sz w:val="28"/>
          <w:highlight w:val="none"/>
          <w:lang w:eastAsia="ru-RU"/>
        </w:rPr>
      </w:r>
      <w:r>
        <w:rPr>
          <w:sz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>
        <w:rPr>
          <w:sz w:val="16"/>
        </w:rPr>
      </w:r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ВИКОНАВЧИЙ КОМІТЕТ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ПРОЄКТ РІШЕННЯ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4394" w:leader="none"/>
          <w:tab w:val="left" w:pos="722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28 січня 2022 року</w:t>
        <w:tab/>
        <w:t xml:space="preserve">м. Мена</w:t>
        <w:tab/>
        <w:tab/>
        <w:t xml:space="preserve">      № _____</w:t>
      </w:r>
      <w:r/>
    </w:p>
    <w:p>
      <w:pPr>
        <w:ind w:left="0" w:right="0" w:firstLine="0"/>
        <w:spacing w:after="0" w:before="0"/>
        <w:tabs>
          <w:tab w:val="left" w:pos="4394" w:leader="none"/>
          <w:tab w:val="left" w:pos="722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4394" w:leader="none"/>
          <w:tab w:val="left" w:pos="722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4394" w:leader="none"/>
          <w:tab w:val="left" w:pos="7228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</w:t>
      </w:r>
      <w:r/>
    </w:p>
    <w:p>
      <w:pPr>
        <w:ind w:left="0" w:right="0" w:firstLine="0"/>
        <w:spacing w:after="0" w:before="0"/>
        <w:tabs>
          <w:tab w:val="left" w:pos="4394" w:leader="none"/>
          <w:tab w:val="left" w:pos="7228" w:leader="none"/>
        </w:tabs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плану заходів</w:t>
      </w:r>
      <w:r>
        <w:rPr>
          <w:b/>
        </w:rPr>
      </w:r>
    </w:p>
    <w:p>
      <w:pPr>
        <w:ind w:left="0" w:right="0" w:firstLine="0"/>
        <w:spacing w:after="0" w:before="0"/>
        <w:tabs>
          <w:tab w:val="left" w:pos="4394" w:leader="none"/>
          <w:tab w:val="left" w:pos="722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На виконання постанови Кабінету Міністрів України від 04 серпня 2021 року № 817 «Деякі питання реалізації експериментального проекту з організації в територіальних громадах соціальної роботи із сім»ями та дітьми, які належать до вразливих груп населення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перебувають у складних життєвих обставинах», на підставі наказу Міністерства соціальної політики України від 23.12.2021 № 721 «Про участь територіальних громад у реалізації експериментального проекту та апробації», розпорядження Менської міської ради від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20.09.2021 № 331 та з метою підвищення ефективності роботи з виявлення сімей та дітей, які належать до вразливих груп населення та/або перебувають у складних життєвих обставинах, надання їм комплексу соціальних послуг, спрямованих на подолання складних ж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иттєвих обставин, мінімізацію їх наслідків, виконавчий комітет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1. Затвердити  План заходів 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реалізації експериментального проекту з організації в Менській міській територіальній громаді соціальної роботи із сім’ями та дітьми, які належать до вразливих груп населення та перебувають у складних життєвих обставинах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(додається).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2. Відділу соціального захисту населення, сім’ї, молоді та охорони здорв’я та Комунальній установі «Менський міський центр соціальних служб» Менської міської ради забезпечити організацію виконання даного плану.</w:t>
      </w:r>
      <w:r/>
    </w:p>
    <w:p>
      <w:pPr>
        <w:ind w:left="0" w:right="0" w:firstLine="0"/>
        <w:jc w:val="both"/>
        <w:spacing w:lineRule="atLeast" w:line="65" w:after="0" w:before="0"/>
        <w:tabs>
          <w:tab w:val="left" w:pos="99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3. Контроль за виконанням рішення покласти на заступника міського  голови з питань діяльності виконавчих органів ради Прищепу В.В.</w:t>
      </w:r>
      <w:r/>
    </w:p>
    <w:p>
      <w:pPr>
        <w:ind w:left="0" w:right="0" w:firstLine="0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/>
    </w:p>
    <w:p>
      <w:pPr>
        <w:ind w:left="0" w:right="0" w:firstLine="0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   Геннадій ПРИМАКОВ</w:t>
      </w:r>
      <w:r/>
    </w:p>
    <w:p>
      <w:pPr>
        <w:ind w:left="0" w:right="0" w:firstLine="0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ab/>
        <w:t xml:space="preserve">Додаток до рішення</w:t>
      </w:r>
      <w:r/>
    </w:p>
    <w:p>
      <w:pPr>
        <w:ind w:left="0" w:right="0" w:firstLine="0"/>
        <w:jc w:val="center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ab/>
        <w:t xml:space="preserve">  виконавчого комітету</w:t>
      </w:r>
      <w:r/>
    </w:p>
    <w:p>
      <w:pPr>
        <w:ind w:left="0" w:right="0" w:firstLine="0"/>
        <w:jc w:val="center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 xml:space="preserve">                                           Менської міської ради</w:t>
      </w:r>
      <w:r/>
    </w:p>
    <w:p>
      <w:pPr>
        <w:ind w:left="0" w:right="0" w:firstLine="0"/>
        <w:jc w:val="center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 xml:space="preserve">                  28 січня 2022 №___</w:t>
      </w:r>
      <w:r/>
    </w:p>
    <w:p>
      <w:pPr>
        <w:ind w:left="0" w:right="0" w:firstLine="0"/>
        <w:jc w:val="center"/>
        <w:spacing w:after="0" w:before="0"/>
        <w:tabs>
          <w:tab w:val="left" w:pos="709" w:leader="none"/>
        </w:tabs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b/>
        </w:rPr>
      </w:r>
      <w:r/>
    </w:p>
    <w:p>
      <w:pPr>
        <w:ind w:left="0" w:right="0" w:firstLine="0"/>
        <w:jc w:val="center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ПЛАН ЗАХОДІВ</w:t>
      </w:r>
      <w:r/>
    </w:p>
    <w:p>
      <w:pPr>
        <w:ind w:left="0" w:right="0" w:firstLine="0"/>
        <w:jc w:val="center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реалізації експериментального проекту з організації в Менській міській територіальній громаді соціальної роботи із сім’ями та дітьми, які належать до вразливих груп населення та перебувають у складних життєвих обставинах</w:t>
      </w:r>
      <w:r/>
    </w:p>
    <w:p>
      <w:pPr>
        <w:ind w:left="0" w:right="0" w:firstLine="0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1. Організаційна робота. </w:t>
      </w:r>
      <w:r/>
    </w:p>
    <w:p>
      <w:pPr>
        <w:ind w:left="0" w:right="0" w:firstLine="0"/>
        <w:jc w:val="both"/>
        <w:spacing w:after="0" w:before="0"/>
        <w:tabs>
          <w:tab w:val="left" w:pos="567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1) Розробка проекту Програми по працевлаштуванню «Соціальне робоче місце». Мета Програми: підтримка непрацюючих громадян, які перебувають у складних життєвих обставинах, надання допомоги у працевлаштуванні з метою подальшого виходу із складних життєвих об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ставин, покращення якості життя осіб, що потребують соціальних послуг.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 xml:space="preserve">Відповідальні:</w:t>
        <w:tab/>
        <w:t xml:space="preserve">Відділ соціального захисту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 xml:space="preserve">          населення, сім’ї, молоді та охорони  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ab/>
        <w:t xml:space="preserve">здоров’я Менської міської ради,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                                              КУ ММЦСС,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ab/>
        <w:t xml:space="preserve">КП «Менакомунпослуга»</w:t>
        <w:tab/>
      </w:r>
      <w:r/>
    </w:p>
    <w:p>
      <w:pPr>
        <w:ind w:left="0" w:right="0" w:firstLine="0"/>
        <w:jc w:val="both"/>
        <w:spacing w:after="0" w:before="0"/>
        <w:tabs>
          <w:tab w:val="left" w:pos="567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 2) Розробка проекту Програми про надання  натуральної допомоги вразливим категоріям населення «Рука підтримки». Мета Програми: соціальна підтримка вразливих верств населення шляхом надання безоплатної натуральної допомоги.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 xml:space="preserve">Відповідальні:</w:t>
        <w:tab/>
        <w:t xml:space="preserve">Відділ соціального захисту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 xml:space="preserve">          населення, сім’ї, молоді та охорони  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ab/>
        <w:t xml:space="preserve">здоров’я Менської міської ради,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ab/>
        <w:t xml:space="preserve">КУ ММЦСС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A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    3) Впровадження Програми «Соціальне таксі» та підготовка відповідних документів для подачі до Міністерства соціальної політики України з метою отримання спеціально обладнаного автомобіля на підставі Постанови КМУ «Деякі питання 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використання коштів, передбачених у державному бюджеті для придбання спеціально обладнаних автомобілів для перевезення осіб з інвалідністю та дітей з інвалідністю, які мають порушення опорно-рухового апарату» від 14 березня 2018 року № 189.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 xml:space="preserve">Відповідальні:</w:t>
        <w:tab/>
        <w:t xml:space="preserve">Відділ соціального захисту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 xml:space="preserve">          населення, сім’ї, молоді та охорони  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ab/>
        <w:t xml:space="preserve">здоров’я Менської міської ради,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ab/>
        <w:t xml:space="preserve">КУ ММЦСС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A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A"/>
          <w:sz w:val="28"/>
          <w:highlight w:val="none"/>
        </w:rPr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Кадрове забезпечення.</w:t>
      </w:r>
      <w:r>
        <w:rPr>
          <w:b/>
        </w:rPr>
      </w:r>
      <w:r/>
    </w:p>
    <w:p>
      <w:pPr>
        <w:ind w:left="0" w:right="0" w:firstLine="0"/>
        <w:jc w:val="both"/>
        <w:spacing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   1) Участь у навчальних семінарах, онлайн семінарах, вебінарах згідно плану роботи Чернігівського обласного центру соціальних служб та отримання додаткових консультацій для фахівців по мірі необхідності в ході реалізації експериментального проекту.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 xml:space="preserve">Відповідальні: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КУ ММЦСС</w:t>
      </w:r>
      <w:r>
        <w:rPr>
          <w:rFonts w:ascii="Times New Roman" w:hAnsi="Times New Roman" w:cs="Times New Roman" w:eastAsia="Times New Roman"/>
          <w:color w:val="000000"/>
          <w:sz w:val="28"/>
        </w:rPr>
        <w:tab/>
      </w:r>
      <w:r/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 2) Організація виїзного семінару для фахівців із соціальної роботи з метою вивчення досвіду інших громад.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 xml:space="preserve">Відповідальні: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КУ ММЦСС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Зміцнення матеріально – технічної бази КУ ММЦСС.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 1) Вирішення в порядку, передбаченому законодавством,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питання  приймання-передачі приміщення, яке орендується КУ ММЦСС, із державної до комунальної власності територіальної громади, підготовка пакету документів для подачі до Кабінету Міністрів України відповідно до Закону України «Про  передачу об’єктів прав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державної та комунальної власності».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   2) Облаштування кімнати для забезпечення роботи «Пункту обміну речей».</w:t>
      </w:r>
      <w:r/>
    </w:p>
    <w:p>
      <w:pPr>
        <w:ind w:left="0" w:right="0" w:firstLine="0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3) Завершення робіт по реконструкції газового опалення. Встановлення газового котла та лічильника, проведення газозварювальних робіт.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4) Поточний ремонт пандуса, робочих кімнат.</w:t>
      </w:r>
      <w:r/>
    </w:p>
    <w:p>
      <w:pPr>
        <w:ind w:left="0" w:right="0" w:firstLine="0"/>
        <w:jc w:val="both"/>
        <w:spacing w:lineRule="atLeast" w:line="235" w:after="16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5) Буді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вництво місцевих очисних споруд установи (водовідведення): для забезпечення роботи фахівців та надання соціальних послуг отримувачам соціальних послуг, в т.ч. дітям з інвалідністю та жінкам з дітьми, необхідне дотримання санітарно – гігієнічних норм, особл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иво в період карантину з метою запобігання поширенню гострої респіраторної хвороби COVID – 19, спричиненої коронавірусом  SARS –CoV-2».</w:t>
      </w:r>
      <w:r/>
    </w:p>
    <w:p>
      <w:pPr>
        <w:ind w:left="0" w:right="0" w:firstLine="0"/>
        <w:jc w:val="both"/>
        <w:spacing w:after="0" w:before="0"/>
        <w:tabs>
          <w:tab w:val="left" w:pos="567" w:leader="none"/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6) Облаштування робочої кімнати для проведення занять по виробленню навичок ведення домашнього господарства.</w:t>
      </w:r>
      <w:r/>
    </w:p>
    <w:p>
      <w:pPr>
        <w:ind w:left="0" w:right="0" w:firstLine="0"/>
        <w:jc w:val="both"/>
        <w:spacing w:lineRule="atLeast" w:line="235" w:after="16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 7) Ремонт покрівлі гаража: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зберігання майна, отриманого від Мінсоцполітики (гідно Постанови КМУ № 817 від 04.08.2021 р. учасники експериментального проекту забезпечуються транспортними засобами - скутерами, електровелосипедами).</w:t>
      </w:r>
      <w:r/>
    </w:p>
    <w:p>
      <w:pPr>
        <w:ind w:left="0" w:right="0" w:firstLine="0"/>
        <w:jc w:val="both"/>
        <w:spacing w:lineRule="atLeast" w:line="235" w:after="16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jc w:val="both"/>
        <w:spacing w:lineRule="auto" w:line="12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 w:eastAsia="ru-RU"/>
        </w:rPr>
        <w:t xml:space="preserve">Директор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КУ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«Менський міський </w:t>
      </w:r>
      <w:r/>
    </w:p>
    <w:p>
      <w:pPr>
        <w:jc w:val="both"/>
        <w:spacing w:lineRule="auto" w:line="12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центр соціальних служб»                 </w:t>
      </w:r>
      <w:r/>
    </w:p>
    <w:p>
      <w:pPr>
        <w:jc w:val="both"/>
        <w:spacing w:lineRule="auto" w:line="12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 w:eastAsia="ru-RU"/>
        </w:rPr>
        <w:t xml:space="preserve">                                              Володимир НЕВЖИНСЬКИЙ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No Spacing"/>
    <w:qFormat/>
    <w:uiPriority w:val="1"/>
    <w:pPr>
      <w:spacing w:lineRule="auto" w:line="240" w:after="0" w:before="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qFormat/>
    <w:uiPriority w:val="34"/>
    <w:pPr>
      <w:contextualSpacing w:val="true"/>
      <w:ind w:left="720"/>
    </w:pPr>
  </w:style>
  <w:style w:type="paragraph" w:styleId="816">
    <w:name w:val="Balloon Text"/>
    <w:basedOn w:val="811"/>
    <w:link w:val="81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7" w:customStyle="1">
    <w:name w:val="Текст выноски Знак"/>
    <w:basedOn w:val="812"/>
    <w:link w:val="81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СТАРОДУБ Людмила Олександрівна</cp:lastModifiedBy>
  <cp:revision>37</cp:revision>
  <dcterms:created xsi:type="dcterms:W3CDTF">2022-01-14T06:27:00Z</dcterms:created>
  <dcterms:modified xsi:type="dcterms:W3CDTF">2022-01-25T17:10:14Z</dcterms:modified>
</cp:coreProperties>
</file>