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left="5103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/>
    </w:p>
    <w:p>
      <w:pPr>
        <w:pStyle w:val="871"/>
        <w:ind w:left="5103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71"/>
        <w:ind w:left="5103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грудня </w:t>
      </w:r>
      <w:r>
        <w:rPr>
          <w:rFonts w:ascii="Times New Roman" w:hAnsi="Times New Roman"/>
          <w:sz w:val="28"/>
          <w:szCs w:val="28"/>
        </w:rPr>
        <w:t xml:space="preserve">2021 року № </w:t>
      </w:r>
      <w:r>
        <w:rPr>
          <w:rFonts w:ascii="Times New Roman" w:hAnsi="Times New Roman"/>
          <w:sz w:val="28"/>
          <w:szCs w:val="28"/>
        </w:rPr>
        <w:t xml:space="preserve">471</w:t>
      </w:r>
      <w:r/>
    </w:p>
    <w:p>
      <w:pPr>
        <w:pStyle w:val="871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71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68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868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/>
    </w:p>
    <w:p>
      <w:pPr>
        <w:pStyle w:val="86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>
        <w:rPr>
          <w:rStyle w:val="872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873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871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I. Питання на перевірку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знання Конституції України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Основні розділи Конституції України.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риси Української держави за Конституцією України (статті 1,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Форма правління в Україні (стаття 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Визнання найвищої соціальної цінності України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Об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'</w:t>
      </w:r>
      <w:bookmarkStart w:id="2" w:name="_GoBack"/>
      <w:r/>
      <w:bookmarkEnd w:id="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єкти права власності Українського народу (статті 13,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Найважливіші функції держави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Державні символи України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Конституційне право на працю (стаття 43).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Конституційне право на освіту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Конституційне право на соціальний захист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Конституційне право на охорону здоров'я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Обов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'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язки громадянина України (статті 65 - 68).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Право громадянина України на вибори. (статті 70).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Призначення  всеукраїнського референдуму. Питання, що вирішуються на всеукраїнському референдумі (статті 72-74).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Бюджетна система України. Державний бюджет України (статті 95- 96).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Порядок обрання Президента України (стаття 103).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Дострокове припинення повноваження Президента України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108).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19. Склад Кабінету Міністрів України (стаття 114).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20. Повноваження Кабінету Міністрів України (статті 116, 117).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21. Повноваження місцевих державних адміністрацій (стаття 119).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22. Правосуддя в Україні. Система судів в Україні (стаття 124, 125).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23. Система адміністративно-територіального устрою України (стаття 133).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24.Територіальні громади. Органи місцевого самоврядування в Україні (статті 143-144).</w:t>
      </w:r>
      <w:r/>
    </w:p>
    <w:p>
      <w:pPr>
        <w:spacing w:lineRule="auto" w:line="259"/>
      </w:pPr>
      <w:r>
        <w:br w:type="page"/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II. Питання на перевірку знання Закону України </w:t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службу в органах місцевого самоврядування»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Посади в органах місцевого самоврядування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принципи 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Право на службу в органах місцевого самоврядування (стаття 5)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Основні обов’язки посадових осіб місцевого самоврядування (стаття 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Основні права посадових осіб місцевого самоврядування (стаття 9)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Прийняття на службу в органи місцевого самоврядування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Присяга посадових осіб місцевого самоврядування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Обмеження,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пов&amp;apos;язані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 прийняттям на службу в органи місцевого самоврядування (статті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Підстави припинення служби в органах місцевого самоврядування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Класифікація посад в органах місцевого самоврядування (статті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Ранги посадових осіб місцевого самоврядування (стаття 15).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Кадровий резерв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Атестація посадових осіб місцевого самоврядування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Відповідальність посадової особи місцевого самоврядування (стаття  24).</w:t>
      </w:r>
      <w:r/>
    </w:p>
    <w:p>
      <w:pPr>
        <w:spacing w:lineRule="atLeast" w:line="301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ІІІ. Питання на перевірку знання </w:t>
      </w:r>
      <w:hyperlink r:id="rId14" w:tooltip="http://zakon1.rada.gov.ua/laws/show/1700-18/paran2#n2" w:anchor="n2" w:history="1">
        <w:r>
          <w:rPr>
            <w:rStyle w:val="870"/>
            <w:rFonts w:ascii="Times New Roman" w:hAnsi="Times New Roman" w:eastAsia="Times New Roman"/>
            <w:b/>
            <w:bCs/>
            <w:color w:val="000000"/>
            <w:sz w:val="28"/>
            <w:szCs w:val="28"/>
            <w:u w:val="none"/>
            <w:lang w:eastAsia="uk-UA"/>
          </w:rPr>
          <w:t xml:space="preserve">Закону України</w:t>
        </w:r>
      </w:hyperlink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 </w:t>
      </w:r>
      <w:r>
        <w:rPr>
          <w:u w:val="none"/>
        </w:rPr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«Про запобігання корупції»</w:t>
      </w:r>
      <w:r>
        <w:rPr>
          <w:u w:val="none"/>
        </w:rPr>
      </w:r>
      <w:r/>
    </w:p>
    <w:p>
      <w:pPr>
        <w:ind w:right="502"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t xml:space="preserve"> </w:t>
      </w:r>
      <w:bookmarkStart w:id="3" w:name="n16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bookmarkEnd w:id="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"n6" \o "http://zakon1.rada.gov.ua/laws/show/1700-18/paran6#n6"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4" w:name="n16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2. Суб’єкти, на яких поширюється дія Закону України «Про запобігання корупції» (</w:t>
      </w:r>
      <w:bookmarkEnd w:id="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"n24" \o "http://zakon1.rada.gov.ua/laws/show/1700-18/paran24#n24"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5" w:name="n16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3. Статус Національного агентства з питань запобігання корупції                (</w:t>
      </w:r>
      <w:bookmarkEnd w:id="5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"n42" \o "http://zakon1.rada.gov.ua/laws/show/1700-18/paran42#n42"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6" w:name="n16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4. Повноваження Національного агентства з питань запобігання корупції (</w:t>
      </w:r>
      <w:bookmarkEnd w:id="6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"n159" \o "http://zakon1.rada.gov.ua/laws/show/1700-18/paran159#n159"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5. Права Національного агентства з питань запобігання корупції (</w:t>
      </w:r>
      <w:hyperlink r:id="rId15" w:tooltip="http://zakon1.rada.gov.ua/laws/show/1700-18/paran183#n183" w:anchor="n183" w:history="1">
        <w:r>
          <w:rPr>
            <w:rStyle w:val="870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стаття  12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7" w:name="n17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6. Контроль за діяльністю Національного агентства з питань запобігання корупції (</w:t>
      </w:r>
      <w:bookmarkEnd w:id="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"n215" \o "http://zakon1.rada.gov.ua/laws/show/1700-18/paran215#n215"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8" w:name="n17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7. Національна доповідь щодо реалізації засад антикорупційної політики (</w:t>
      </w:r>
      <w:bookmarkEnd w:id="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"n260" \o "http://zakon1.rada.gov.ua/laws/show/1700-18/paran260#n260"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20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9" w:name="n17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8. Обмеження щодо використання службових повноважень чи свого становища та одержання подарунків (</w:t>
      </w:r>
      <w:bookmarkEnd w:id="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"n311" \o "http://zakon1.rada.gov.ua/laws/show/1700-18/paran311#n311"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22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6" w:tooltip="http://zakon1.rada.gov.ua/laws/show/1700-18/paran313#n313" w:anchor="n313" w:history="1">
        <w:r>
          <w:rPr>
            <w:rStyle w:val="870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23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0" w:name="n17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bookmarkEnd w:id="1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"n335" \o "http://zakon1.rada.gov.ua/laws/show/1700-18/paran335#n335"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7" w:tooltip="http://zakon1.rada.gov.ua/laws/show/1700-18/paran348#n348" w:anchor="n348" w:history="1">
        <w:r>
          <w:rPr>
            <w:rStyle w:val="870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27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1" w:name="n17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10. Запобігання та врегулювання конфлікту інтересів (</w:t>
      </w:r>
      <w:bookmarkEnd w:id="1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"n359" \o "http://zakon1.rada.gov.ua/laws/show/1700-18/paran359#n359"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28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2" w:name="n17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11. Заходи зовнішнього та самостійного врегулювання конфлікту інтересів (</w:t>
      </w:r>
      <w:bookmarkEnd w:id="1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"n372" \o "http://zakon1.rada.gov.ua/laws/show/1700-18/paran372#n372"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29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3" w:name="n17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12. Запобігання конфлікту інтересів у зв’язку з наявністю в особи підприємств чи корпоративних прав (</w:t>
      </w:r>
      <w:bookmarkEnd w:id="1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"n405" \o "http://zakon1.rada.gov.ua/laws/show/1700-18/paran405#n405"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4" w:name="n17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13. Вимоги до поведінки осіб (</w:t>
      </w:r>
      <w:bookmarkEnd w:id="1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"n417" \o "http://zakon1.rada.gov.ua/laws/show/1700-18/paran417#n417"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37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5" w:name="n17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14. Подання декларацій осіб, уповноважених на виконання функцій держави або місцевого самоврядування (</w:t>
      </w:r>
      <w:bookmarkEnd w:id="15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"n439" \o "http://zakon1.rada.gov.ua/laws/show/1700-18/paran439#n439"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6" w:name="n179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15. </w:t>
      </w:r>
      <w:bookmarkEnd w:id="1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Контроль та перевірка декларацій (стаття 51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u w:val="none"/>
        </w:rPr>
        <w:t xml:space="preserve"> 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7" w:name="n18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16. Моніторинг способу життя суб’єктів декларування (</w:t>
      </w:r>
      <w:bookmarkEnd w:id="1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"n500" \o "http://zakon1.rada.gov.ua/laws/show/1700-18/paran500#n500"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8" w:name="n18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17. Державний захист викривачів (</w:t>
      </w:r>
      <w:bookmarkEnd w:id="1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"n512" \o "http://zakon1.rada.gov.ua/laws/show/1700-18/paran512#n512"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9" w:name="n18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bookmarkEnd w:id="1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"n526" \o "http://zakon1.rada.gov.ua/laws/show/1700-18/paran526#n526"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0" w:name="n18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19. Антикорупційна експертиза (</w:t>
      </w:r>
      <w:bookmarkEnd w:id="2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"n529" \o "http://zakon1.rada.gov.ua/laws/show/1700-18/paran529#n529"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1" w:name="n18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20. Спеціальна перевірка (</w:t>
      </w:r>
      <w:bookmarkEnd w:id="2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"n550" \o "http://zakon1.rada.gov.ua/laws/show/1700-18/paran550#n550"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2" w:name="n18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21. Загальні засади запобігання корупції у діяльності юридичної особи (</w:t>
      </w:r>
      <w:bookmarkEnd w:id="2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"n649" \o "http://zakon1.rada.gov.ua/laws/show/1700-18/paran649#n649"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u w:val="none"/>
        </w:rPr>
      </w:r>
      <w:bookmarkStart w:id="23" w:name="n18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22. Відповідальність за корупційні або пов’язані з корупцією правопорушення (</w:t>
      </w:r>
      <w:bookmarkEnd w:id="2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"n701" \o "http://zakon1.rada.gov.ua/laws/show/1700-18/paran701#n701"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0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center"/>
        <w:spacing w:lineRule="auto" w:line="240" w:after="0"/>
        <w:shd w:val="clear" w:color="FFFFFF" w:fill="FFFFFF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ІV. Питання на перевірку знання Закону України </w:t>
      </w:r>
      <w:r/>
    </w:p>
    <w:p>
      <w:pPr>
        <w:ind w:firstLine="709"/>
        <w:jc w:val="center"/>
        <w:spacing w:lineRule="auto" w:line="240" w:after="0"/>
        <w:shd w:val="clear" w:color="FFFFFF" w:fill="FFFF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місцеве самоврядування в Україні»</w:t>
      </w:r>
      <w:r/>
    </w:p>
    <w:p>
      <w:pPr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Поняття місцевого самоврядування (стаття 2). Право на участь у місцевому самоврядуванні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Громадські слухання (стаття 13).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Порядок формування рад (стаття 45).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Організація роботи виконавчого комітету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Депутат ради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Сільський, селищний, міський голова (стаття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Сесія ради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Постійні комісії ради (стаття 47).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10.Секретар сільської, селищної, міської ради (стаття 50).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Місцеві бюджети (стаття 61).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Виконавчі органи рад (стаття 11).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Дострокове припинення повноважень ради (стаття 78).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Законодавство про місцеве самоврядування (стаття 24).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pStyle w:val="875"/>
        <w:ind w:right="-1"/>
        <w:jc w:val="center"/>
        <w:spacing w:after="0" w:afterAutospacing="0" w:before="0" w:beforeAutospacing="0"/>
        <w:shd w:val="clear" w:color="FFFFFF" w:fill="FFFFFF"/>
        <w:rPr>
          <w:rStyle w:val="873"/>
          <w:b/>
          <w:color w:val="333333"/>
          <w:sz w:val="28"/>
          <w:szCs w:val="28"/>
          <w:highlight w:val="none"/>
          <w:lang w:val="uk-UA"/>
        </w:rPr>
      </w:pP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V. </w:t>
      </w: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Перелік питань для перевірки знань законодавства на посаду </w:t>
      </w: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завідувача сектору </w:t>
      </w: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«</w:t>
      </w: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Оборонної роботи</w:t>
      </w: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 цивільного захисту населення та роботи з правоохоронними органами</w:t>
      </w: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»</w:t>
      </w:r>
      <w:r>
        <w:rPr>
          <w:rStyle w:val="873"/>
          <w:b/>
          <w:bCs/>
          <w:color w:val="333333"/>
          <w:sz w:val="28"/>
          <w:szCs w:val="28"/>
          <w:lang w:val="uk-UA"/>
        </w:rPr>
        <w:t xml:space="preserve"> Менської міської ради</w:t>
      </w:r>
      <w:r>
        <w:rPr>
          <w:b/>
          <w:bCs/>
          <w:color w:val="333333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ст.5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Суб'єкти  забезпечення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ст.8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Режими функціонування єдиної державної системи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ст.11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органів місцевого самоврядування у сфері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ст.19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Завдання і обов'язк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суб'єктів господарювання у сфері цивільного захисту, відповідно до ст.20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і обов'язки громадян у сфері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ст.21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Оповіщення про загрозу або виникнення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30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Кодексу цивільного захисту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навчання населення діям у надзвичайних ситуаціях,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ст.39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Навчання учнів, студентів та дітей дошкільного віку, формування культури безпеки життєдіяльності населення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відповідно до ст.41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техногенної безпеки органами державної влади, органами місцевого самоврядування, суб'єктами господарювання,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ст.51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робіт з ліквідації наслідків 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ст.71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керівного складу та фахівців, діяльність яких пов'язана з організацією і здійсненням заходів з питань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ст.91 Кодексу цивільного захисту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Оборонна робота України, відповідно до ст. 2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Діяльність органів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місцевого самоврядування у сфері оборони,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15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підприємств, установ та організацій і обов'язки їх посадових осіб у сфері оборони,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16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обов'язки громадян України у сфері оборони,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                      ст. 17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Органи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18 Закону України «Про мобілізаційну підготовку та мобілізацію».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поліції з органами державної влади та органами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5 Закону України «Про Національну поліцію».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між керівниками територіальних органів поліції та представниками органів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88 Закону України «Про Національну поліцію».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spacing w:lineRule="auto" w:line="259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 xml:space="preserve">                                           продовження додатка</w:t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7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4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1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9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6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3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0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basedOn w:val="865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4"/>
    <w:next w:val="864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basedOn w:val="865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4"/>
    <w:next w:val="864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basedOn w:val="865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5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5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5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5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864"/>
    <w:qFormat/>
    <w:uiPriority w:val="34"/>
    <w:pPr>
      <w:contextualSpacing w:val="true"/>
      <w:ind w:left="720"/>
    </w:pPr>
  </w:style>
  <w:style w:type="paragraph" w:styleId="707">
    <w:name w:val="Title"/>
    <w:basedOn w:val="864"/>
    <w:next w:val="864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5"/>
    <w:link w:val="707"/>
    <w:uiPriority w:val="10"/>
    <w:rPr>
      <w:sz w:val="48"/>
      <w:szCs w:val="48"/>
    </w:rPr>
  </w:style>
  <w:style w:type="paragraph" w:styleId="709">
    <w:name w:val="Subtitle"/>
    <w:basedOn w:val="864"/>
    <w:next w:val="864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5"/>
    <w:link w:val="709"/>
    <w:uiPriority w:val="11"/>
    <w:rPr>
      <w:sz w:val="24"/>
      <w:szCs w:val="24"/>
    </w:rPr>
  </w:style>
  <w:style w:type="paragraph" w:styleId="711">
    <w:name w:val="Quote"/>
    <w:basedOn w:val="864"/>
    <w:next w:val="864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4"/>
    <w:next w:val="864"/>
    <w:link w:val="714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4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5"/>
    <w:link w:val="715"/>
    <w:uiPriority w:val="99"/>
  </w:style>
  <w:style w:type="paragraph" w:styleId="717">
    <w:name w:val="Footer"/>
    <w:basedOn w:val="864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5"/>
    <w:link w:val="717"/>
    <w:uiPriority w:val="99"/>
  </w:style>
  <w:style w:type="paragraph" w:styleId="719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1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2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3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4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5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6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8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9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0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7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8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9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0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69">
    <w:name w:val="Normal (Web)"/>
    <w:basedOn w:val="86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0">
    <w:name w:val="Hyperlink"/>
    <w:basedOn w:val="865"/>
    <w:uiPriority w:val="99"/>
    <w:semiHidden/>
    <w:unhideWhenUsed/>
    <w:rPr>
      <w:color w:val="0563C1" w:themeColor="hyperlink"/>
      <w:u w:val="single"/>
    </w:rPr>
  </w:style>
  <w:style w:type="paragraph" w:styleId="871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72" w:customStyle="1">
    <w:name w:val="rvts15"/>
  </w:style>
  <w:style w:type="character" w:styleId="873" w:customStyle="1">
    <w:name w:val="rvts23"/>
    <w:basedOn w:val="865"/>
  </w:style>
  <w:style w:type="paragraph" w:styleId="874" w:customStyle="1">
    <w:name w:val="docdata"/>
    <w:basedOn w:val="864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75" w:customStyle="1">
    <w:name w:val="rvps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file:///C:\Users\User\Downloads\&#1076;&#1086;&#1076;&#1072;&#1090;&#1086;&#1082;%20350.docx" TargetMode="External"/><Relationship Id="rId15" Type="http://schemas.openxmlformats.org/officeDocument/2006/relationships/hyperlink" Target="file:///C:\Users\User\Downloads\&#1076;&#1086;&#1076;&#1072;&#1090;&#1086;&#1082;%20350.docx" TargetMode="External"/><Relationship Id="rId16" Type="http://schemas.openxmlformats.org/officeDocument/2006/relationships/hyperlink" Target="file:///C:\Users\User\Downloads\&#1076;&#1086;&#1076;&#1072;&#1090;&#1086;&#1082;%20350.docx" TargetMode="External"/><Relationship Id="rId17" Type="http://schemas.openxmlformats.org/officeDocument/2006/relationships/hyperlink" Target="file:///C:\Users\User\Downloads\&#1076;&#1086;&#1076;&#1072;&#1090;&#1086;&#1082;%20350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9</cp:revision>
  <dcterms:created xsi:type="dcterms:W3CDTF">2021-11-15T14:12:00Z</dcterms:created>
  <dcterms:modified xsi:type="dcterms:W3CDTF">2022-01-04T07:25:49Z</dcterms:modified>
</cp:coreProperties>
</file>