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/>
          <w:sz w:val="28"/>
          <w:szCs w:val="28"/>
          <w:highlight w:val="none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16"/>
          <w:szCs w:val="28"/>
          <w:highlight w:val="none"/>
        </w:rPr>
      </w:pPr>
      <w:r>
        <w:rPr>
          <w:rFonts w:ascii="Times New Roman" w:hAnsi="Times New Roman" w:cs="Mangal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  <w:highlight w:val="none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                </w:t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                           </w:t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    </w:t>
      </w: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        </w:t>
      </w: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  </w:t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535" w:leader="none"/>
          <w:tab w:val="left" w:pos="7370" w:leader="none"/>
        </w:tabs>
        <w:rPr>
          <w:rFonts w:ascii="Times New Roman" w:hAnsi="Times New Roman" w:cs="Mangal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 грудня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                              м. Мена                            №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 399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 29 червня 2021 року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165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визначення змісту, обсягів, умов та порядку надання соціальних послуг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відділенням організації надання адресної натуральної та грошової 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КУ «Територіальний центр соціального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(надання соціальних послуг)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ради, відповідно до Закону України «Про місцеве самоврядування в Україні», Закону України «Про соціальні послуги», </w:t>
      </w:r>
      <w:bookmarkStart w:id="0" w:name="_Hlk74128752"/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соціальної політики «Про затвердження Державного стандарту натуральної допомоги» № 147 від 25.03.2021, </w:t>
      </w:r>
      <w:r>
        <w:rPr>
          <w:rFonts w:ascii="Times New Roman" w:hAnsi="Times New Roman"/>
          <w:sz w:val="28"/>
          <w:szCs w:val="28"/>
          <w:lang w:val="uk-UA"/>
        </w:rPr>
        <w:t xml:space="preserve">та враховуючи  відкриття нової соціальної послуги «Соціальна пральня «Достойне життя», виконавчий комітет Менської міської ради</w:t>
      </w:r>
      <w:bookmarkEnd w:id="0"/>
      <w:r/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ВИРІШИВ: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виконавчого комітету № 165 від 19.06.2021  «Про затвердження основних заходів, що становлять зміст соціальної послуги», доповнивши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Основні заходи, що становлять зміст соціальної послуги натуральної допомоги та орієнтовний час для їх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пунктом 3.7 в редакції згідно додатку до даного рішення.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органів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В.В. Прищепу.</w:t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Міський г</w:t>
      </w:r>
      <w:r>
        <w:rPr>
          <w:rFonts w:ascii="Times New Roman" w:hAnsi="Times New Roman"/>
          <w:b w:val="false"/>
          <w:sz w:val="28"/>
          <w:szCs w:val="28"/>
        </w:rPr>
        <w:t xml:space="preserve">олова                                                    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 w:val="false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Геннадій ПРИМАКОВ</w:t>
      </w:r>
      <w:r>
        <w:rPr>
          <w:b w:val="false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816"/>
        <w:ind w:left="5669" w:righ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</w:t>
      </w:r>
      <w:r>
        <w:rPr>
          <w:bCs/>
          <w:sz w:val="28"/>
          <w:szCs w:val="28"/>
          <w:lang w:val="uk-UA"/>
        </w:rPr>
        <w:t xml:space="preserve">даток </w:t>
      </w:r>
      <w:r/>
    </w:p>
    <w:p>
      <w:pPr>
        <w:pStyle w:val="816"/>
        <w:ind w:left="5669" w:righ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рішення виконавчого </w:t>
      </w:r>
      <w:r>
        <w:rPr>
          <w:bCs/>
          <w:sz w:val="28"/>
          <w:szCs w:val="28"/>
          <w:lang w:val="uk-UA"/>
        </w:rPr>
        <w:t xml:space="preserve">комітету Менської міської ради </w:t>
      </w:r>
      <w:r/>
    </w:p>
    <w:p>
      <w:pPr>
        <w:pStyle w:val="816"/>
        <w:ind w:left="5669" w:right="0" w:firstLine="0"/>
        <w:jc w:val="both"/>
        <w:tabs>
          <w:tab w:val="left" w:pos="531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21 грудня</w:t>
      </w:r>
      <w:r>
        <w:rPr>
          <w:bCs/>
          <w:sz w:val="28"/>
          <w:szCs w:val="28"/>
          <w:lang w:val="uk-UA"/>
        </w:rPr>
        <w:t xml:space="preserve"> 2021 року № 399</w:t>
      </w:r>
      <w:r/>
    </w:p>
    <w:p>
      <w:pPr>
        <w:pStyle w:val="816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  <w:lang w:val="uk-UA"/>
        </w:rPr>
      </w:r>
      <w:r>
        <w:rPr>
          <w:sz w:val="28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  <w:lang w:val="uk-UA"/>
        </w:rPr>
        <w:t xml:space="preserve">ОСНОВНІ ЗАХОДИ,</w:t>
      </w:r>
      <w:r>
        <w:rPr>
          <w:rFonts w:ascii="Times New Roman" w:hAnsi="Times New Roman"/>
          <w:b/>
          <w:color w:val="000000"/>
          <w:sz w:val="28"/>
          <w:szCs w:val="24"/>
          <w:lang w:val="uk-UA"/>
        </w:rPr>
        <w:br/>
        <w:t xml:space="preserve">що становлять зміст соціальної послуги натуральної допомоги </w:t>
      </w:r>
      <w:r>
        <w:rPr>
          <w:sz w:val="28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  <w:lang w:val="uk-UA"/>
        </w:rPr>
        <w:t xml:space="preserve">та орієнтовний час для їх виконання </w:t>
      </w:r>
      <w:r>
        <w:rPr>
          <w:sz w:val="28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</w:r>
      <w:r/>
    </w:p>
    <w:p>
      <w:pPr>
        <w:jc w:val="right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</w:r>
      <w:r/>
    </w:p>
    <w:tbl>
      <w:tblPr>
        <w:tblW w:w="5192" w:type="pct"/>
        <w:tblInd w:w="-434" w:type="dxa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</w:tblBorders>
        <w:tblLayout w:type="fixed"/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616"/>
        <w:gridCol w:w="3955"/>
        <w:gridCol w:w="1651"/>
        <w:gridCol w:w="1959"/>
        <w:gridCol w:w="1818"/>
      </w:tblGrid>
      <w:tr>
        <w:trPr>
          <w:trHeight w:val="15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заходу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Одиниця вимірювання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Примітка/</w:t>
            </w:r>
            <w:r/>
          </w:p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уточнення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Витрати часу на проведення заходу, що становить зміст соціальної послуги, хвилин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Заходи, які надаються 1 раз на місяць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62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Прання білизни та одягу: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trHeight w:val="93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2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автоматичне (прання постільної білизни, рушників, верхнього одягу тощо)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Одне прання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5 кг сухої білизни</w:t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45–90                      (за потреби)</w:t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</w:tbl>
    <w:p>
      <w:pPr>
        <w:ind w:left="-426" w:right="282"/>
        <w:jc w:val="both"/>
        <w:spacing w:lineRule="auto" w:line="24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Директор КУ «Територіальний центр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соціального обслуговування (надання </w:t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соціальних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послуг)» Менської міської </w:t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ради                                                                                                 Наталія ГОНЧАР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Times New Roman"/>
      <w:lang w:val="ru-RU" w:eastAsia="ru-RU"/>
    </w:rPr>
    <w:pPr>
      <w:spacing w:lineRule="auto" w:line="276" w:after="20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Default"/>
    <w:rPr>
      <w:rFonts w:ascii="Times New Roman" w:hAnsi="Times New Roman" w:cs="Times New Roman"/>
      <w:color w:val="000000"/>
      <w:sz w:val="24"/>
      <w:szCs w:val="24"/>
      <w:lang w:val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8</cp:revision>
  <dcterms:created xsi:type="dcterms:W3CDTF">2021-12-01T10:07:00Z</dcterms:created>
  <dcterms:modified xsi:type="dcterms:W3CDTF">2021-12-23T17:57:02Z</dcterms:modified>
</cp:coreProperties>
</file>