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53"/>
        <w:ind w:left="5812"/>
        <w:spacing w:lineRule="auto" w:line="256" w:after="0" w:afterAutospacing="0" w:before="0" w:beforeAutospacing="0"/>
        <w:rPr>
          <w:lang w:val="uk-UA"/>
        </w:rPr>
      </w:pPr>
      <w:r>
        <w:rPr>
          <w:lang w:val="uk-UA"/>
        </w:rPr>
        <w:t xml:space="preserve">Додаток </w:t>
      </w:r>
      <w:r/>
    </w:p>
    <w:p>
      <w:pPr>
        <w:pStyle w:val="649"/>
        <w:ind w:left="5812"/>
        <w:spacing w:lineRule="auto" w:line="256" w:after="0" w:afterAutospacing="0" w:before="0" w:beforeAutospacing="0"/>
        <w:rPr>
          <w:lang w:val="uk-UA"/>
        </w:rPr>
      </w:pPr>
      <w:r>
        <w:rPr>
          <w:lang w:val="uk-UA"/>
        </w:rPr>
        <w:t xml:space="preserve">до рішення 15 сесії </w:t>
      </w:r>
      <w:r>
        <w:rPr>
          <w:lang w:val="uk-UA"/>
        </w:rPr>
        <w:t xml:space="preserve">Менської міської ради</w:t>
      </w:r>
      <w:r>
        <w:rPr>
          <w:lang w:val="uk-UA"/>
        </w:rPr>
        <w:t xml:space="preserve"> 8 скликання </w:t>
      </w:r>
      <w:r/>
    </w:p>
    <w:p>
      <w:pPr>
        <w:pStyle w:val="649"/>
        <w:ind w:left="5812"/>
        <w:spacing w:lineRule="auto" w:line="256" w:after="0" w:afterAutospacing="0" w:before="0" w:beforeAutospacing="0"/>
        <w:rPr>
          <w:lang w:val="uk-UA"/>
        </w:rPr>
      </w:pPr>
      <w:r>
        <w:rPr>
          <w:lang w:val="uk-UA"/>
        </w:rPr>
        <w:t xml:space="preserve">09 грудня 2021 р. №</w:t>
      </w:r>
      <w:r>
        <w:rPr>
          <w:lang w:val="uk-UA"/>
        </w:rPr>
        <w:t xml:space="preserve">833</w:t>
      </w:r>
      <w:r/>
    </w:p>
    <w:p>
      <w:pPr>
        <w:pStyle w:val="649"/>
        <w:jc w:val="both"/>
        <w:spacing w:after="0" w:afterAutospacing="0" w:before="0" w:beforeAutospacing="0"/>
        <w:rPr>
          <w:lang w:val="uk-UA"/>
        </w:rPr>
      </w:pPr>
      <w:r>
        <w:rPr>
          <w:lang w:val="uk-UA"/>
        </w:rPr>
        <w:t xml:space="preserve"> </w:t>
      </w:r>
      <w:r/>
    </w:p>
    <w:p>
      <w:pPr>
        <w:pStyle w:val="649"/>
        <w:jc w:val="both"/>
        <w:spacing w:after="0" w:afterAutospacing="0" w:before="0" w:beforeAutospacing="0"/>
        <w:rPr>
          <w:lang w:val="uk-UA"/>
        </w:rPr>
      </w:pPr>
      <w:r>
        <w:rPr>
          <w:lang w:val="uk-UA"/>
        </w:rPr>
      </w:r>
      <w:r/>
    </w:p>
    <w:p>
      <w:pPr>
        <w:pStyle w:val="649"/>
        <w:jc w:val="both"/>
        <w:spacing w:after="0" w:afterAutospacing="0" w:before="0" w:beforeAutospacing="0"/>
        <w:rPr>
          <w:lang w:val="uk-UA"/>
        </w:rPr>
      </w:pPr>
      <w:r>
        <w:rPr>
          <w:lang w:val="uk-UA"/>
        </w:rPr>
      </w:r>
      <w:r/>
    </w:p>
    <w:p>
      <w:pPr>
        <w:pStyle w:val="649"/>
        <w:spacing w:lineRule="auto" w:line="256" w:after="0" w:afterAutospacing="0" w:before="0" w:beforeAutospacing="0"/>
        <w:rPr>
          <w:sz w:val="28"/>
        </w:rPr>
      </w:pPr>
      <w:r>
        <w:rPr>
          <w:b/>
          <w:bCs/>
          <w:sz w:val="28"/>
          <w:szCs w:val="28"/>
          <w:lang w:val="uk-UA"/>
        </w:rPr>
        <w:t xml:space="preserve">ПОГОДЖЕНО                                        </w:t>
      </w:r>
      <w:r>
        <w:rPr>
          <w:b/>
          <w:bCs/>
          <w:sz w:val="28"/>
          <w:szCs w:val="28"/>
          <w:lang w:val="uk-UA"/>
        </w:rPr>
        <w:tab/>
        <w:t xml:space="preserve">ЗАТВЕРДЖЕНО</w:t>
      </w:r>
      <w:r/>
    </w:p>
    <w:p>
      <w:pPr>
        <w:pStyle w:val="649"/>
        <w:spacing w:lineRule="auto" w:line="256" w:after="0" w:afterAutospacing="0" w:before="0" w:beforeAutospacing="0"/>
        <w:rPr>
          <w:sz w:val="28"/>
        </w:rPr>
      </w:pPr>
      <w:r>
        <w:rPr>
          <w:sz w:val="28"/>
          <w:szCs w:val="28"/>
          <w:lang w:val="uk-UA"/>
        </w:rPr>
        <w:t xml:space="preserve">Начальник відділу освіти                     </w:t>
      </w:r>
      <w:r>
        <w:rPr>
          <w:sz w:val="28"/>
          <w:szCs w:val="28"/>
          <w:lang w:val="uk-UA"/>
        </w:rPr>
        <w:tab/>
        <w:t xml:space="preserve">рішення 15 сесії </w:t>
      </w:r>
      <w:r>
        <w:rPr>
          <w:sz w:val="28"/>
          <w:szCs w:val="28"/>
          <w:lang w:val="uk-UA"/>
        </w:rPr>
        <w:t xml:space="preserve">Менської міської</w:t>
      </w:r>
      <w:r>
        <w:rPr>
          <w:sz w:val="28"/>
          <w:szCs w:val="28"/>
          <w:lang w:val="uk-UA"/>
        </w:rPr>
      </w:r>
      <w:r/>
    </w:p>
    <w:p>
      <w:pPr>
        <w:pStyle w:val="649"/>
        <w:spacing w:lineRule="auto" w:line="256" w:after="0" w:afterAutospacing="0" w:before="0" w:beforeAutospacing="0"/>
        <w:rPr>
          <w:sz w:val="28"/>
        </w:rPr>
      </w:pPr>
      <w:r>
        <w:rPr>
          <w:sz w:val="28"/>
          <w:szCs w:val="28"/>
          <w:lang w:val="uk-UA"/>
        </w:rPr>
        <w:t xml:space="preserve">Менської міської ради                           </w:t>
      </w:r>
      <w:r>
        <w:rPr>
          <w:sz w:val="28"/>
          <w:szCs w:val="28"/>
          <w:lang w:val="uk-UA"/>
        </w:rPr>
        <w:tab/>
        <w:t xml:space="preserve"> ради </w:t>
      </w:r>
      <w:r>
        <w:rPr>
          <w:sz w:val="28"/>
          <w:szCs w:val="28"/>
          <w:lang w:val="uk-UA"/>
        </w:rPr>
        <w:t xml:space="preserve">8 скликання</w:t>
      </w:r>
      <w:r/>
      <w:r>
        <w:rPr>
          <w:sz w:val="28"/>
          <w:szCs w:val="28"/>
          <w:lang w:val="uk-UA"/>
        </w:rPr>
      </w:r>
      <w:r/>
    </w:p>
    <w:p>
      <w:pPr>
        <w:pStyle w:val="649"/>
        <w:spacing w:lineRule="auto" w:line="256" w:after="0" w:afterAutospacing="0" w:before="0" w:beforeAutospacing="0"/>
        <w:rPr>
          <w:sz w:val="28"/>
        </w:rPr>
      </w:pPr>
      <w:r>
        <w:rPr>
          <w:sz w:val="28"/>
          <w:szCs w:val="28"/>
          <w:lang w:val="uk-UA"/>
        </w:rPr>
        <w:t xml:space="preserve">_________ Ірина ЛУК’ЯНЕНКО                09 грудня 2021 року №_____</w:t>
      </w:r>
      <w:r/>
    </w:p>
    <w:p>
      <w:pPr>
        <w:pStyle w:val="649"/>
        <w:spacing w:lineRule="auto" w:line="256" w:after="0" w:afterAutospacing="0" w:before="0" w:beforeAutospacing="0"/>
        <w:rPr>
          <w:sz w:val="28"/>
        </w:rPr>
      </w:pPr>
      <w:r>
        <w:rPr>
          <w:sz w:val="28"/>
          <w:szCs w:val="28"/>
          <w:lang w:val="uk-UA"/>
        </w:rPr>
        <w:t xml:space="preserve">09 грудня 2021 року</w:t>
      </w:r>
      <w:r>
        <w:rPr>
          <w:sz w:val="28"/>
          <w:szCs w:val="28"/>
          <w:lang w:val="uk-UA"/>
        </w:rPr>
        <w:tab/>
      </w:r>
      <w:r>
        <w:rPr>
          <w:sz w:val="28"/>
          <w:szCs w:val="28"/>
          <w:lang w:val="uk-UA"/>
        </w:rPr>
        <w:tab/>
        <w:t xml:space="preserve">         </w:t>
      </w:r>
      <w:r>
        <w:rPr>
          <w:sz w:val="28"/>
          <w:szCs w:val="28"/>
          <w:lang w:val="uk-UA"/>
        </w:rPr>
        <w:tab/>
        <w:t xml:space="preserve">       </w:t>
      </w:r>
      <w:r>
        <w:rPr>
          <w:sz w:val="28"/>
          <w:szCs w:val="28"/>
          <w:lang w:val="uk-UA"/>
        </w:rPr>
        <w:tab/>
        <w:t xml:space="preserve"> Міський голова</w:t>
      </w:r>
      <w:r/>
    </w:p>
    <w:p>
      <w:pPr>
        <w:pStyle w:val="649"/>
        <w:spacing w:lineRule="auto" w:line="256" w:after="0" w:afterAutospacing="0" w:before="0" w:beforeAutospacing="0"/>
        <w:rPr>
          <w:sz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Pr>
          <w:sz w:val="28"/>
          <w:szCs w:val="28"/>
          <w:lang w:val="uk-UA"/>
        </w:rPr>
        <w:tab/>
        <w:t xml:space="preserve"> ________Геннадій ПРИМАКОВ</w:t>
      </w:r>
      <w:r/>
    </w:p>
    <w:p>
      <w:pPr>
        <w:pStyle w:val="651"/>
        <w:contextualSpacing w:val="true"/>
        <w:jc w:val="left"/>
        <w:rPr>
          <w:b/>
          <w:lang w:val="uk-UA"/>
        </w:rPr>
      </w:pPr>
      <w:r>
        <w:rPr>
          <w:b/>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СТАТУТ</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Опорного закладу</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Менська гімназія</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Менської міської ради </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в новій редакції</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r>
      <w:r/>
    </w:p>
    <w:p>
      <w:pPr>
        <w:ind w:firstLine="567"/>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center"/>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2021</w:t>
      </w:r>
      <w:r>
        <w:rPr>
          <w:rFonts w:ascii="Times New Roman" w:hAnsi="Times New Roman" w:cs="Times New Roman"/>
          <w:sz w:val="28"/>
          <w:szCs w:val="28"/>
          <w:lang w:val="uk-UA"/>
        </w:rPr>
        <w:t xml:space="preserve"> р.</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І. Загальні положення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1.1</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Опорний заклад Менська гімназія</w:t>
      </w:r>
      <w:r>
        <w:rPr>
          <w:rFonts w:ascii="Times New Roman" w:hAnsi="Times New Roman" w:cs="Times New Roman"/>
          <w:sz w:val="28"/>
          <w:szCs w:val="28"/>
          <w:lang w:val="uk-UA"/>
        </w:rPr>
        <w:t xml:space="preserve"> Менської міської ради</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є комунальним закладом загальної середньої освіти, який забезпечує здобуття освіти на таких рівнях:</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початкова освіта (1-4 класи) (початкова школа) - перший рівень повної загальної середньої освіти, що передбачає виконання </w:t>
      </w:r>
      <w:r>
        <w:rPr>
          <w:rFonts w:ascii="Times New Roman" w:hAnsi="Times New Roman" w:cs="Times New Roman"/>
          <w:sz w:val="28"/>
          <w:szCs w:val="28"/>
          <w:lang w:val="uk-UA"/>
        </w:rPr>
        <w:t xml:space="preserve">здобувачем освіти</w:t>
      </w:r>
      <w:r>
        <w:rPr>
          <w:rFonts w:ascii="Times New Roman" w:hAnsi="Times New Roman" w:cs="Times New Roman"/>
          <w:sz w:val="28"/>
          <w:szCs w:val="28"/>
          <w:lang w:val="uk-UA"/>
        </w:rPr>
        <w:t xml:space="preserve"> вимог до результатів </w:t>
      </w:r>
      <w:r>
        <w:rPr>
          <w:rFonts w:ascii="Times New Roman" w:hAnsi="Times New Roman" w:cs="Times New Roman"/>
          <w:sz w:val="28"/>
          <w:szCs w:val="28"/>
          <w:lang w:val="uk-UA"/>
        </w:rPr>
        <w:t xml:space="preserve">навчання</w:t>
      </w:r>
      <w:r>
        <w:rPr>
          <w:rFonts w:ascii="Times New Roman" w:hAnsi="Times New Roman" w:cs="Times New Roman"/>
          <w:sz w:val="28"/>
          <w:szCs w:val="28"/>
          <w:lang w:val="uk-UA"/>
        </w:rPr>
        <w:t xml:space="preserve">, визначених державним стандартом початкової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базова середня освіта (5-9 класи) (гімназія) - другий рівень повної загальної середньої освіти, що передбачає виконання </w:t>
      </w:r>
      <w:r>
        <w:rPr>
          <w:rFonts w:ascii="Times New Roman" w:hAnsi="Times New Roman" w:cs="Times New Roman"/>
          <w:sz w:val="28"/>
          <w:szCs w:val="28"/>
          <w:lang w:val="uk-UA"/>
        </w:rPr>
        <w:t xml:space="preserve">здобувачем освіти</w:t>
      </w:r>
      <w:r>
        <w:rPr>
          <w:rFonts w:ascii="Times New Roman" w:hAnsi="Times New Roman" w:cs="Times New Roman"/>
          <w:sz w:val="28"/>
          <w:szCs w:val="28"/>
          <w:lang w:val="uk-UA"/>
        </w:rPr>
        <w:t xml:space="preserve"> вимог до результатів навчання, визначених державним стандартом базової середньої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Style w:val="660"/>
          <w:rFonts w:ascii="Times New Roman" w:hAnsi="Times New Roman" w:cs="Times New Roman"/>
          <w:bCs/>
          <w:sz w:val="28"/>
          <w:szCs w:val="28"/>
          <w:shd w:val="clear" w:fill="FFFFFF" w:color="auto"/>
          <w:lang w:val="uk-UA"/>
        </w:rPr>
        <w:t xml:space="preserve">профільна середня освіта (ліцей) – до 01.09.2027 профільна середня освіта забезпечується в межах дворічної старшої школи (10-11 класи).</w:t>
      </w:r>
      <w:r>
        <w:rPr>
          <w:rFonts w:ascii="Times New Roman" w:hAnsi="Times New Roman" w:cs="Times New Roman"/>
          <w:sz w:val="28"/>
          <w:szCs w:val="28"/>
          <w:lang w:val="uk-UA"/>
        </w:rPr>
        <w:t xml:space="preserve">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Опорний заклад Менська гімназія Менської міської ради</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(далі – заклад освіти</w:t>
      </w:r>
      <w:r>
        <w:rPr>
          <w:rFonts w:ascii="Times New Roman" w:hAnsi="Times New Roman" w:cs="Times New Roman"/>
          <w:sz w:val="28"/>
          <w:szCs w:val="28"/>
          <w:lang w:val="uk-UA"/>
        </w:rPr>
        <w:t xml:space="preserve">, заклад</w:t>
      </w:r>
      <w:r>
        <w:rPr>
          <w:rFonts w:ascii="Times New Roman" w:hAnsi="Times New Roman" w:cs="Times New Roman"/>
          <w:sz w:val="28"/>
          <w:szCs w:val="28"/>
          <w:lang w:val="uk-UA"/>
        </w:rPr>
        <w:t xml:space="preserve">) є </w:t>
      </w:r>
      <w:r>
        <w:rPr>
          <w:rFonts w:ascii="Times New Roman" w:hAnsi="Times New Roman" w:cs="Times New Roman"/>
          <w:sz w:val="28"/>
          <w:szCs w:val="28"/>
          <w:lang w:val="uk-UA"/>
        </w:rPr>
        <w:t xml:space="preserve">опорним </w:t>
      </w:r>
      <w:r>
        <w:rPr>
          <w:rFonts w:ascii="Times New Roman" w:hAnsi="Times New Roman" w:cs="Times New Roman"/>
          <w:sz w:val="28"/>
          <w:szCs w:val="28"/>
          <w:lang w:val="uk-UA"/>
        </w:rPr>
        <w:t xml:space="preserve">комунальним</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закладом за</w:t>
      </w:r>
      <w:r>
        <w:rPr>
          <w:rFonts w:ascii="Times New Roman" w:hAnsi="Times New Roman" w:cs="Times New Roman"/>
          <w:sz w:val="28"/>
          <w:szCs w:val="28"/>
          <w:lang w:val="uk-UA"/>
        </w:rPr>
        <w:t xml:space="preserve">гальної середньої освіти, який </w:t>
      </w:r>
      <w:r>
        <w:rPr>
          <w:rFonts w:ascii="Times New Roman" w:hAnsi="Times New Roman" w:cs="Times New Roman"/>
          <w:sz w:val="28"/>
          <w:szCs w:val="28"/>
          <w:lang w:val="uk-UA"/>
        </w:rPr>
        <w:t xml:space="preserve">надає освітні послуги у сфері повної загальної середньої освіти (початкова освіта, </w:t>
      </w:r>
      <w:r>
        <w:rPr>
          <w:rFonts w:ascii="Times New Roman" w:hAnsi="Times New Roman" w:cs="Times New Roman"/>
          <w:sz w:val="28"/>
          <w:szCs w:val="28"/>
          <w:lang w:val="uk-UA"/>
        </w:rPr>
        <w:t xml:space="preserve">базова середня</w:t>
      </w:r>
      <w:r>
        <w:rPr>
          <w:rFonts w:ascii="Times New Roman" w:hAnsi="Times New Roman" w:cs="Times New Roman"/>
          <w:sz w:val="28"/>
          <w:szCs w:val="28"/>
          <w:lang w:val="uk-UA"/>
        </w:rPr>
        <w:t xml:space="preserve">, профільна</w:t>
      </w:r>
      <w:r>
        <w:rPr>
          <w:rFonts w:ascii="Times New Roman" w:hAnsi="Times New Roman" w:cs="Times New Roman"/>
          <w:sz w:val="28"/>
          <w:szCs w:val="28"/>
          <w:lang w:val="uk-UA"/>
        </w:rPr>
        <w:t xml:space="preserve"> освіта</w:t>
      </w:r>
      <w:r>
        <w:rPr>
          <w:rFonts w:ascii="Times New Roman" w:hAnsi="Times New Roman" w:cs="Times New Roman"/>
          <w:sz w:val="28"/>
          <w:szCs w:val="28"/>
          <w:lang w:val="uk-UA"/>
        </w:rPr>
        <w:t xml:space="preserve">), забезпечує </w:t>
      </w:r>
      <w:r>
        <w:rPr>
          <w:rFonts w:ascii="Times New Roman" w:hAnsi="Times New Roman" w:cs="Times New Roman"/>
          <w:sz w:val="28"/>
          <w:szCs w:val="28"/>
          <w:lang w:val="uk-UA"/>
        </w:rPr>
        <w:t xml:space="preserve">до</w:t>
      </w:r>
      <w:r>
        <w:rPr>
          <w:rFonts w:ascii="Times New Roman" w:hAnsi="Times New Roman" w:cs="Times New Roman"/>
          <w:sz w:val="28"/>
          <w:szCs w:val="28"/>
          <w:lang w:val="uk-UA"/>
        </w:rPr>
        <w:t xml:space="preserve">профільну, </w:t>
      </w:r>
      <w:r>
        <w:rPr>
          <w:rFonts w:ascii="Times New Roman" w:hAnsi="Times New Roman" w:cs="Times New Roman"/>
          <w:sz w:val="28"/>
          <w:szCs w:val="28"/>
          <w:lang w:val="uk-UA"/>
        </w:rPr>
        <w:t xml:space="preserve">профільну</w:t>
      </w:r>
      <w:r>
        <w:rPr>
          <w:rFonts w:ascii="Times New Roman" w:hAnsi="Times New Roman" w:cs="Times New Roman"/>
          <w:sz w:val="28"/>
          <w:szCs w:val="28"/>
          <w:lang w:val="uk-UA"/>
        </w:rPr>
        <w:t xml:space="preserve"> підготовку. </w:t>
      </w:r>
      <w:r/>
    </w:p>
    <w:p>
      <w:pPr>
        <w:pStyle w:val="661"/>
        <w:jc w:val="both"/>
        <w:spacing w:before="0"/>
        <w:rPr>
          <w:rFonts w:ascii="Times New Roman" w:hAnsi="Times New Roman"/>
          <w:sz w:val="28"/>
          <w:szCs w:val="28"/>
        </w:rPr>
      </w:pPr>
      <w:r>
        <w:rPr>
          <w:rFonts w:ascii="Times New Roman" w:hAnsi="Times New Roman"/>
          <w:sz w:val="28"/>
          <w:szCs w:val="28"/>
        </w:rPr>
        <w:t xml:space="preserve">1.2. </w:t>
      </w:r>
      <w:r>
        <w:rPr>
          <w:rStyle w:val="660"/>
          <w:rFonts w:ascii="Times New Roman" w:hAnsi="Times New Roman"/>
          <w:bCs/>
          <w:sz w:val="28"/>
          <w:szCs w:val="28"/>
          <w:shd w:val="clear" w:fill="FFFFFF" w:color="auto"/>
        </w:rPr>
        <w:t xml:space="preserve">Відповідно до </w:t>
      </w:r>
      <w:r>
        <w:rPr>
          <w:rFonts w:ascii="Times New Roman" w:hAnsi="Times New Roman"/>
          <w:sz w:val="28"/>
          <w:szCs w:val="28"/>
        </w:rPr>
        <w:t xml:space="preserve">рішення Менської районної ради від 31.10.2017 № 290 «Про безоплатну передачу бюдже</w:t>
      </w:r>
      <w:r>
        <w:rPr>
          <w:rFonts w:ascii="Times New Roman" w:hAnsi="Times New Roman"/>
          <w:sz w:val="28"/>
          <w:szCs w:val="28"/>
        </w:rPr>
        <w:t xml:space="preserve">тних установ, закладів та майна зі спільної власності територіальних громад сіл, селищ, міста Менського району у комунальну власність Менської міської об’єднаної територіальної громади» заклад  передано до власності Менської міської територіальної громади.</w:t>
      </w:r>
      <w:r/>
    </w:p>
    <w:p>
      <w:pPr>
        <w:ind w:firstLine="567"/>
        <w:jc w:val="both"/>
        <w:spacing w:lineRule="auto" w:line="240" w:after="0"/>
        <w:rPr>
          <w:rFonts w:ascii="Times New Roman" w:hAnsi="Times New Roman" w:eastAsia="Times New Roman"/>
          <w:color w:val="000000"/>
          <w:sz w:val="28"/>
          <w:szCs w:val="28"/>
          <w:lang w:val="uk-UA" w:eastAsia="uk-UA"/>
        </w:rPr>
      </w:pPr>
      <w:r>
        <w:rPr>
          <w:rFonts w:ascii="Times New Roman" w:hAnsi="Times New Roman"/>
          <w:sz w:val="28"/>
          <w:szCs w:val="28"/>
          <w:lang w:val="uk-UA"/>
        </w:rPr>
        <w:t xml:space="preserve">Рішенням </w:t>
      </w:r>
      <w:r>
        <w:rPr>
          <w:rFonts w:ascii="Times New Roman" w:hAnsi="Times New Roman"/>
          <w:color w:val="000000" w:themeColor="text1"/>
          <w:sz w:val="28"/>
          <w:szCs w:val="28"/>
          <w:lang w:val="uk-UA"/>
        </w:rPr>
        <w:t xml:space="preserve">д</w:t>
      </w:r>
      <w:r>
        <w:rPr>
          <w:rFonts w:ascii="Times New Roman" w:hAnsi="Times New Roman"/>
          <w:color w:val="000000" w:themeColor="text1"/>
          <w:sz w:val="28"/>
          <w:szCs w:val="28"/>
          <w:lang w:val="uk-UA"/>
        </w:rPr>
        <w:t xml:space="preserve">ванадцятої</w:t>
      </w:r>
      <w:r>
        <w:rPr>
          <w:rFonts w:ascii="Times New Roman" w:hAnsi="Times New Roman"/>
          <w:color w:val="000000" w:themeColor="text1"/>
          <w:sz w:val="28"/>
          <w:szCs w:val="28"/>
          <w:lang w:val="uk-UA"/>
        </w:rPr>
        <w:t xml:space="preserve"> сесії Менської міської ради сьомого скликання від </w:t>
      </w:r>
      <w:r>
        <w:rPr>
          <w:rFonts w:ascii="Times New Roman" w:hAnsi="Times New Roman"/>
          <w:color w:val="000000" w:themeColor="text1"/>
          <w:sz w:val="28"/>
          <w:szCs w:val="28"/>
          <w:lang w:val="uk-UA"/>
        </w:rPr>
        <w:t xml:space="preserve">15.03</w:t>
      </w:r>
      <w:r>
        <w:rPr>
          <w:rFonts w:ascii="Times New Roman" w:hAnsi="Times New Roman"/>
          <w:color w:val="000000" w:themeColor="text1"/>
          <w:sz w:val="28"/>
          <w:szCs w:val="28"/>
          <w:lang w:val="uk-UA"/>
        </w:rPr>
        <w:t xml:space="preserve">.2018 </w:t>
      </w:r>
      <w:r>
        <w:rPr>
          <w:rFonts w:ascii="Times New Roman" w:hAnsi="Times New Roman"/>
          <w:color w:val="000000" w:themeColor="text1"/>
          <w:sz w:val="28"/>
          <w:szCs w:val="28"/>
          <w:lang w:val="uk-UA"/>
        </w:rPr>
        <w:t xml:space="preserve">№ 67</w:t>
      </w:r>
      <w:r>
        <w:rPr>
          <w:rFonts w:ascii="Times New Roman" w:hAnsi="Times New Roman"/>
          <w:color w:val="000000" w:themeColor="text1"/>
          <w:sz w:val="28"/>
          <w:szCs w:val="28"/>
          <w:lang w:val="uk-UA"/>
        </w:rPr>
        <w:t xml:space="preserve"> «</w:t>
      </w:r>
      <w:r>
        <w:rPr>
          <w:rFonts w:ascii="Times New Roman" w:hAnsi="Times New Roman"/>
          <w:bCs/>
          <w:iCs/>
          <w:sz w:val="28"/>
          <w:szCs w:val="28"/>
          <w:lang w:val="uk-UA" w:eastAsia="ru-RU"/>
        </w:rPr>
        <w:t xml:space="preserve">Про затвердження Статуту </w:t>
      </w:r>
      <w:r>
        <w:rPr>
          <w:rFonts w:ascii="Times New Roman" w:hAnsi="Times New Roman"/>
          <w:bCs/>
          <w:iCs/>
          <w:sz w:val="28"/>
          <w:szCs w:val="28"/>
          <w:lang w:val="uk-UA" w:eastAsia="ru-RU"/>
        </w:rPr>
        <w:t xml:space="preserve">Менської гімназії </w:t>
      </w:r>
      <w:r>
        <w:rPr>
          <w:rFonts w:ascii="Times New Roman" w:hAnsi="Times New Roman"/>
          <w:bCs/>
          <w:iCs/>
          <w:sz w:val="28"/>
          <w:szCs w:val="28"/>
          <w:lang w:val="uk-UA" w:eastAsia="ru-RU"/>
        </w:rPr>
        <w:t xml:space="preserve">Менської міської ради Менського району Чернігівської області</w:t>
      </w:r>
      <w:r>
        <w:rPr>
          <w:rFonts w:ascii="Times New Roman" w:hAnsi="Times New Roman"/>
          <w:bCs/>
          <w:iCs/>
          <w:color w:val="000000" w:themeColor="text1"/>
          <w:sz w:val="28"/>
          <w:szCs w:val="28"/>
          <w:lang w:val="uk-UA"/>
        </w:rPr>
        <w:t xml:space="preserve">»</w:t>
      </w:r>
      <w:r>
        <w:rPr>
          <w:rFonts w:ascii="Times New Roman" w:hAnsi="Times New Roman"/>
          <w:bCs/>
          <w:iCs/>
          <w:color w:val="FF0000"/>
          <w:sz w:val="28"/>
          <w:szCs w:val="28"/>
          <w:lang w:val="uk-UA"/>
        </w:rPr>
        <w:t xml:space="preserve"> </w:t>
      </w:r>
      <w:r>
        <w:rPr>
          <w:rFonts w:ascii="Times New Roman" w:hAnsi="Times New Roman"/>
          <w:sz w:val="28"/>
          <w:szCs w:val="28"/>
          <w:lang w:val="uk-UA"/>
        </w:rPr>
        <w:t xml:space="preserve">заклад</w:t>
      </w:r>
      <w:r>
        <w:rPr>
          <w:rFonts w:ascii="Times New Roman" w:hAnsi="Times New Roman"/>
          <w:sz w:val="28"/>
          <w:szCs w:val="28"/>
          <w:lang w:val="uk-UA"/>
        </w:rPr>
        <w:t xml:space="preserve"> перейменовано з </w:t>
      </w:r>
      <w:r>
        <w:rPr>
          <w:rFonts w:ascii="Times New Roman" w:hAnsi="Times New Roman"/>
          <w:sz w:val="28"/>
          <w:szCs w:val="28"/>
          <w:lang w:val="uk-UA" w:eastAsia="ru-RU"/>
        </w:rPr>
        <w:t xml:space="preserve">Менської районної гімназії Менської районної ради Чернігівської області</w:t>
      </w:r>
      <w:r>
        <w:rPr>
          <w:rFonts w:ascii="Times New Roman" w:hAnsi="Times New Roman" w:eastAsia="Times New Roman"/>
          <w:color w:val="000000"/>
          <w:sz w:val="28"/>
          <w:szCs w:val="28"/>
          <w:lang w:val="uk-UA" w:eastAsia="uk-UA"/>
        </w:rPr>
        <w:t xml:space="preserve"> на Менська гімназія Менської міської ради Менського району Чернігівської області. </w:t>
      </w:r>
      <w:r/>
    </w:p>
    <w:p>
      <w:pPr>
        <w:ind w:firstLine="567"/>
        <w:jc w:val="both"/>
        <w:spacing w:lineRule="auto" w:line="240" w:after="0"/>
        <w:rPr>
          <w:rFonts w:ascii="Times New Roman" w:hAnsi="Times New Roman" w:cs="Times New Roman"/>
          <w:sz w:val="28"/>
          <w:szCs w:val="28"/>
          <w:lang w:val="uk-UA"/>
        </w:rPr>
      </w:pPr>
      <w:r>
        <w:rPr>
          <w:rFonts w:ascii="Times New Roman" w:hAnsi="Times New Roman" w:eastAsia="Times New Roman"/>
          <w:color w:val="000000"/>
          <w:sz w:val="28"/>
          <w:szCs w:val="28"/>
          <w:lang w:val="uk-UA" w:eastAsia="uk-UA"/>
        </w:rPr>
        <w:t xml:space="preserve">Рішенням тридцять восьмої сесії Менської міської ради сьомого скликання від 25.02.2020 № 83 «Про створення опорного закладу та філії» </w:t>
      </w:r>
      <w:r>
        <w:rPr>
          <w:rFonts w:ascii="Times New Roman" w:hAnsi="Times New Roman" w:eastAsia="Times New Roman"/>
          <w:sz w:val="28"/>
          <w:szCs w:val="28"/>
          <w:lang w:val="uk-UA" w:eastAsia="ru-RU"/>
        </w:rPr>
        <w:t xml:space="preserve">с</w:t>
      </w:r>
      <w:r>
        <w:rPr>
          <w:rFonts w:ascii="Times New Roman" w:hAnsi="Times New Roman" w:eastAsia="Times New Roman"/>
          <w:sz w:val="28"/>
          <w:szCs w:val="28"/>
          <w:lang w:val="uk-UA" w:eastAsia="ru-RU"/>
        </w:rPr>
        <w:t xml:space="preserve">твор</w:t>
      </w:r>
      <w:r>
        <w:rPr>
          <w:rFonts w:ascii="Times New Roman" w:hAnsi="Times New Roman" w:eastAsia="Times New Roman"/>
          <w:sz w:val="28"/>
          <w:szCs w:val="28"/>
          <w:lang w:val="uk-UA" w:eastAsia="ru-RU"/>
        </w:rPr>
        <w:t xml:space="preserve">ено</w:t>
      </w:r>
      <w:r>
        <w:rPr>
          <w:rFonts w:ascii="Times New Roman" w:hAnsi="Times New Roman" w:eastAsia="Times New Roman"/>
          <w:sz w:val="28"/>
          <w:szCs w:val="28"/>
          <w:lang w:val="uk-UA" w:eastAsia="ru-RU"/>
        </w:rPr>
        <w:t xml:space="preserve"> опорний заклад освіти – Опорний заклад Менська гімназія Менської міської ради Менського району Чернігівської області з філією - Бірківська філія І-ІІ ступенів Опорного закладу Менської</w:t>
      </w:r>
      <w:r>
        <w:rPr>
          <w:rFonts w:ascii="Times New Roman" w:hAnsi="Times New Roman" w:eastAsia="Times New Roman"/>
          <w:sz w:val="28"/>
          <w:szCs w:val="28"/>
          <w:lang w:val="uk-UA" w:eastAsia="ru-RU"/>
        </w:rPr>
        <w:t xml:space="preserve"> </w:t>
      </w:r>
      <w:r>
        <w:rPr>
          <w:rFonts w:ascii="Times New Roman" w:hAnsi="Times New Roman" w:eastAsia="Times New Roman"/>
          <w:sz w:val="28"/>
          <w:szCs w:val="28"/>
          <w:lang w:val="uk-UA" w:eastAsia="ru-RU"/>
        </w:rPr>
        <w:t xml:space="preserve">гімназії Менської міської ради</w:t>
      </w:r>
      <w:r>
        <w:rPr>
          <w:rFonts w:ascii="Times New Roman" w:hAnsi="Times New Roman" w:eastAsia="Times New Roman"/>
          <w:sz w:val="28"/>
          <w:szCs w:val="28"/>
          <w:lang w:val="uk-UA" w:eastAsia="ru-RU"/>
        </w:rPr>
        <w:t xml:space="preserve"> </w:t>
      </w:r>
      <w:r>
        <w:rPr>
          <w:rFonts w:ascii="Times New Roman" w:hAnsi="Times New Roman" w:eastAsia="Times New Roman"/>
          <w:sz w:val="28"/>
          <w:szCs w:val="28"/>
          <w:lang w:val="uk-UA" w:eastAsia="ru-RU"/>
        </w:rPr>
        <w:t xml:space="preserve">Менського району Чернігівської області.</w:t>
      </w:r>
      <w:r>
        <w:rPr>
          <w:rFonts w:ascii="Times New Roman" w:hAnsi="Times New Roman" w:eastAsia="Times New Roman"/>
          <w:sz w:val="28"/>
          <w:szCs w:val="28"/>
          <w:lang w:val="uk-UA" w:eastAsia="ru-RU"/>
        </w:rPr>
        <w:t xml:space="preserve"> Рішенням сорок другої сесії Менської міської ради сьомого скликання від 26.07.2020 № 399 </w:t>
      </w:r>
      <w:r>
        <w:rPr>
          <w:rFonts w:ascii="Times New Roman" w:hAnsi="Times New Roman" w:eastAsia="Times New Roman"/>
          <w:sz w:val="28"/>
          <w:szCs w:val="28"/>
          <w:lang w:val="uk-UA" w:eastAsia="ru-RU"/>
        </w:rPr>
        <w:t xml:space="preserve">«</w:t>
      </w:r>
      <w:r>
        <w:rPr>
          <w:rFonts w:ascii="Times New Roman" w:hAnsi="Times New Roman" w:eastAsia="Times New Roman"/>
          <w:bCs/>
          <w:iCs/>
          <w:color w:val="000000" w:themeColor="text1"/>
          <w:sz w:val="28"/>
          <w:szCs w:val="28"/>
          <w:lang w:val="uk-UA" w:eastAsia="ru-RU"/>
        </w:rPr>
        <w:t xml:space="preserve">Про затвердження Статуту Опорного закладу Менська гімназія Менської міської ради Менського району Чернігівської області в новій редакції»</w:t>
      </w:r>
      <w:r>
        <w:rPr>
          <w:rFonts w:ascii="Times New Roman" w:hAnsi="Times New Roman" w:eastAsia="Times New Roman"/>
          <w:b/>
          <w:bCs/>
          <w:iCs/>
          <w:color w:val="000000" w:themeColor="text1"/>
          <w:sz w:val="28"/>
          <w:szCs w:val="28"/>
          <w:lang w:val="uk-UA" w:eastAsia="ru-RU"/>
        </w:rPr>
        <w:t xml:space="preserve"> </w:t>
      </w:r>
      <w:r>
        <w:rPr>
          <w:rFonts w:ascii="Times New Roman" w:hAnsi="Times New Roman" w:eastAsia="Times New Roman"/>
          <w:bCs/>
          <w:iCs/>
          <w:color w:val="000000" w:themeColor="text1"/>
          <w:sz w:val="28"/>
          <w:szCs w:val="28"/>
          <w:lang w:val="uk-UA" w:eastAsia="ru-RU"/>
        </w:rPr>
        <w:t xml:space="preserve">заклад перейменовано з Менська гімназія Менської міської ради Менського району Чернігівської області на </w:t>
      </w:r>
      <w:r>
        <w:rPr>
          <w:rFonts w:ascii="Times New Roman" w:hAnsi="Times New Roman" w:eastAsia="Times New Roman"/>
          <w:color w:val="000000" w:themeColor="text1"/>
          <w:sz w:val="28"/>
          <w:szCs w:val="28"/>
          <w:lang w:val="uk-UA" w:eastAsia="uk-UA"/>
        </w:rPr>
        <w:t xml:space="preserve">Опорний заклад Менська гімназія Менської міської ради Менського району Чернігівської області.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1.3</w:t>
      </w:r>
      <w:r>
        <w:rPr>
          <w:rFonts w:ascii="Times New Roman" w:hAnsi="Times New Roman" w:cs="Times New Roman"/>
          <w:sz w:val="28"/>
          <w:szCs w:val="28"/>
          <w:lang w:val="uk-UA"/>
        </w:rPr>
        <w:t xml:space="preserve">. Повне найменування</w:t>
      </w:r>
      <w:r>
        <w:rPr>
          <w:rFonts w:ascii="Times New Roman" w:hAnsi="Times New Roman" w:cs="Times New Roman"/>
          <w:sz w:val="28"/>
          <w:szCs w:val="28"/>
          <w:lang w:val="uk-UA"/>
        </w:rPr>
        <w:t xml:space="preserve">:</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Опорний заклад Менська гімназія</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Менської міської ради</w:t>
      </w:r>
      <w:r>
        <w:rPr>
          <w:rFonts w:ascii="Times New Roman" w:hAnsi="Times New Roman" w:cs="Times New Roman"/>
          <w:sz w:val="28"/>
          <w:szCs w:val="28"/>
          <w:lang w:val="uk-UA"/>
        </w:rPr>
        <w:t xml:space="preserve">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Скорочене найменування</w:t>
      </w:r>
      <w:r>
        <w:rPr>
          <w:rFonts w:ascii="Times New Roman" w:hAnsi="Times New Roman" w:cs="Times New Roman"/>
          <w:sz w:val="28"/>
          <w:szCs w:val="28"/>
          <w:lang w:val="uk-UA"/>
        </w:rPr>
        <w:t xml:space="preserve">:</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Опорний заклад Менська гімназія, Менська гімназія</w:t>
      </w:r>
      <w:r>
        <w:rPr>
          <w:rFonts w:ascii="Times New Roman" w:hAnsi="Times New Roman" w:cs="Times New Roman"/>
          <w:sz w:val="28"/>
          <w:szCs w:val="28"/>
          <w:lang w:val="uk-UA"/>
        </w:rPr>
        <w:t xml:space="preserve">.</w:t>
      </w:r>
      <w:r/>
    </w:p>
    <w:p>
      <w:pPr>
        <w:ind w:firstLine="567"/>
        <w:jc w:val="both"/>
        <w:spacing w:lineRule="auto" w:line="240" w:after="0"/>
        <w:rPr>
          <w:rFonts w:ascii="Times New Roman" w:hAnsi="Times New Roman"/>
          <w:sz w:val="28"/>
          <w:szCs w:val="26"/>
          <w:lang w:val="uk-UA"/>
        </w:rPr>
      </w:pPr>
      <w:r>
        <w:rPr>
          <w:rFonts w:ascii="Times New Roman" w:hAnsi="Times New Roman" w:cs="Times New Roman"/>
          <w:sz w:val="28"/>
          <w:szCs w:val="28"/>
          <w:lang w:val="uk-UA"/>
        </w:rPr>
        <w:t xml:space="preserve">1.4</w:t>
      </w:r>
      <w:r>
        <w:rPr>
          <w:rFonts w:ascii="Times New Roman" w:hAnsi="Times New Roman" w:cs="Times New Roman"/>
          <w:sz w:val="28"/>
          <w:szCs w:val="28"/>
          <w:lang w:val="uk-UA"/>
        </w:rPr>
        <w:t xml:space="preserve">. Місцезнахо</w:t>
      </w:r>
      <w:r>
        <w:rPr>
          <w:rFonts w:ascii="Times New Roman" w:hAnsi="Times New Roman" w:cs="Times New Roman"/>
          <w:sz w:val="28"/>
          <w:szCs w:val="28"/>
          <w:lang w:val="uk-UA"/>
        </w:rPr>
        <w:t xml:space="preserve">дження: </w:t>
      </w:r>
      <w:r>
        <w:rPr>
          <w:rFonts w:ascii="Times New Roman" w:hAnsi="Times New Roman"/>
          <w:sz w:val="28"/>
          <w:szCs w:val="26"/>
          <w:lang w:val="uk-UA"/>
        </w:rPr>
        <w:t xml:space="preserve">15600, Чернігівська область, Корюківський район, місто Мена, вулиця Шевченка, 56.</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1.5</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Заклад освіти має філії:</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Повне найменування: Бірківська філія І-ІІ ступенів Опорного закладу Менська гімназія Менської міської ради;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ab/>
        <w:t xml:space="preserve">Скорочене найменування: Бірківська філія І-ІІ ступенів;</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ab/>
        <w:t xml:space="preserve">Місцезнаходження: </w:t>
      </w:r>
      <w:r>
        <w:rPr>
          <w:rFonts w:ascii="Times New Roman" w:hAnsi="Times New Roman" w:cs="Times New Roman"/>
          <w:sz w:val="28"/>
          <w:szCs w:val="28"/>
          <w:lang w:val="uk-UA"/>
        </w:rPr>
        <w:t xml:space="preserve">15674, Чернігівська область, Корюківський район, село Бірківка, провулок Шкільний, 4.</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Повне найменування: Величківська філія І-ІІ ступенів Опорного закладу Менська гімназія Менської міської ради;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ab/>
        <w:t xml:space="preserve">Скорочене найменування: Величківська філія І-ІІ ступенів</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ab/>
        <w:t xml:space="preserve">Місцезнаходження: 15641, Чернігівська область, Корюківський район, село Величківка, вул. Миру, 3.</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1.6</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Засновником закладу освіти є </w:t>
      </w:r>
      <w:r>
        <w:rPr>
          <w:rFonts w:ascii="Times New Roman" w:hAnsi="Times New Roman" w:cs="Times New Roman"/>
          <w:sz w:val="28"/>
          <w:szCs w:val="28"/>
          <w:lang w:val="uk-UA"/>
        </w:rPr>
        <w:t xml:space="preserve">Менська міська рада (далі – Засновник). Уповноваженим органом З</w:t>
      </w:r>
      <w:r>
        <w:rPr>
          <w:rFonts w:ascii="Times New Roman" w:hAnsi="Times New Roman" w:cs="Times New Roman"/>
          <w:sz w:val="28"/>
          <w:szCs w:val="28"/>
          <w:lang w:val="uk-UA"/>
        </w:rPr>
        <w:t xml:space="preserve">асновника є </w:t>
      </w:r>
      <w:r>
        <w:rPr>
          <w:rFonts w:ascii="Times New Roman" w:hAnsi="Times New Roman" w:cs="Times New Roman"/>
          <w:sz w:val="28"/>
          <w:szCs w:val="28"/>
          <w:lang w:val="uk-UA"/>
        </w:rPr>
        <w:t xml:space="preserve">відділ освіти Менської міської ради</w:t>
      </w:r>
      <w:r>
        <w:rPr>
          <w:rFonts w:ascii="Times New Roman" w:hAnsi="Times New Roman" w:cs="Times New Roman"/>
          <w:sz w:val="28"/>
          <w:szCs w:val="28"/>
          <w:lang w:val="uk-UA"/>
        </w:rPr>
        <w:t xml:space="preserve"> (далі </w:t>
      </w:r>
      <w:r>
        <w:rPr>
          <w:rFonts w:ascii="Times New Roman" w:hAnsi="Times New Roman" w:cs="Times New Roman"/>
          <w:sz w:val="28"/>
          <w:szCs w:val="28"/>
          <w:lang w:val="uk-UA"/>
        </w:rPr>
        <w:t xml:space="preserve">–</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Орган управління</w:t>
      </w:r>
      <w:r>
        <w:rPr>
          <w:rFonts w:ascii="Times New Roman" w:hAnsi="Times New Roman" w:cs="Times New Roman"/>
          <w:sz w:val="28"/>
          <w:szCs w:val="28"/>
          <w:lang w:val="uk-UA"/>
        </w:rPr>
        <w:t xml:space="preserve">). </w:t>
      </w:r>
      <w:r/>
    </w:p>
    <w:p>
      <w:pPr>
        <w:ind w:firstLine="567"/>
        <w:jc w:val="both"/>
        <w:spacing w:lineRule="auto" w:line="240" w:after="0"/>
        <w:rPr>
          <w:rFonts w:ascii="Times New Roman" w:hAnsi="Times New Roman" w:cs="Times New Roman"/>
          <w:color w:val="000000"/>
          <w:sz w:val="28"/>
          <w:szCs w:val="28"/>
          <w:lang w:val="uk-UA"/>
        </w:rPr>
      </w:pPr>
      <w:r>
        <w:rPr>
          <w:rFonts w:ascii="Times New Roman" w:hAnsi="Times New Roman" w:cs="Times New Roman"/>
          <w:color w:val="000000" w:themeColor="text1"/>
          <w:sz w:val="28"/>
          <w:szCs w:val="28"/>
          <w:lang w:val="uk-UA"/>
        </w:rPr>
        <w:t xml:space="preserve">1.7</w:t>
      </w:r>
      <w:r>
        <w:rPr>
          <w:rFonts w:ascii="Times New Roman" w:hAnsi="Times New Roman" w:cs="Times New Roman"/>
          <w:color w:val="000000" w:themeColor="text1"/>
          <w:sz w:val="28"/>
          <w:szCs w:val="28"/>
          <w:lang w:val="uk-UA"/>
        </w:rPr>
        <w:t xml:space="preserve">. Засновник закладу освіти:</w:t>
      </w:r>
      <w:r/>
    </w:p>
    <w:p>
      <w:pPr>
        <w:pStyle w:val="648"/>
        <w:ind w:firstLine="567"/>
        <w:jc w:val="both"/>
        <w:spacing w:after="0" w:afterAutospacing="0" w:before="0" w:beforeAutospacing="0"/>
        <w:rPr>
          <w:sz w:val="28"/>
          <w:szCs w:val="28"/>
          <w:lang w:val="uk-UA"/>
        </w:rPr>
      </w:pPr>
      <w:r>
        <w:rPr>
          <w:color w:val="000000"/>
          <w:sz w:val="28"/>
          <w:szCs w:val="28"/>
          <w:lang w:val="uk-UA"/>
        </w:rPr>
        <w:t xml:space="preserve">- </w:t>
      </w:r>
      <w:r>
        <w:rPr>
          <w:color w:val="000000"/>
          <w:sz w:val="28"/>
          <w:szCs w:val="28"/>
        </w:rPr>
        <w:t xml:space="preserve"> </w:t>
      </w:r>
      <w:r>
        <w:rPr>
          <w:color w:val="000000"/>
          <w:sz w:val="28"/>
          <w:szCs w:val="28"/>
          <w:lang w:val="uk-UA"/>
        </w:rPr>
        <w:t xml:space="preserve">здійснює контроль за недопущенням обмежень (дискримінації) за ознаками віку, статі, раси, кольору шкіри, стану здоров’я, інвалідності, ос</w:t>
      </w:r>
      <w:r>
        <w:rPr>
          <w:color w:val="000000"/>
          <w:sz w:val="28"/>
          <w:szCs w:val="28"/>
          <w:lang w:val="uk-UA"/>
        </w:rPr>
        <w:t xml:space="preserve">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r>
        <w:rPr>
          <w:color w:val="000000"/>
          <w:sz w:val="28"/>
          <w:szCs w:val="28"/>
          <w:lang w:val="uk-UA"/>
        </w:rPr>
        <w:t xml:space="preserve">;</w:t>
      </w:r>
      <w:r/>
    </w:p>
    <w:p>
      <w:pPr>
        <w:pStyle w:val="649"/>
        <w:ind w:firstLine="567"/>
        <w:jc w:val="both"/>
        <w:spacing w:after="0" w:afterAutospacing="0" w:before="0" w:beforeAutospacing="0"/>
        <w:rPr>
          <w:sz w:val="28"/>
          <w:szCs w:val="28"/>
          <w:lang w:val="uk-UA"/>
        </w:rPr>
      </w:pPr>
      <w:r>
        <w:rPr>
          <w:color w:val="000000"/>
          <w:sz w:val="28"/>
          <w:szCs w:val="28"/>
          <w:lang w:val="uk-UA"/>
        </w:rPr>
        <w:t xml:space="preserve">- </w:t>
      </w:r>
      <w:r>
        <w:rPr>
          <w:color w:val="000000"/>
          <w:sz w:val="28"/>
          <w:szCs w:val="28"/>
          <w:lang w:val="uk-UA"/>
        </w:rPr>
        <w:t xml:space="preserve">фінансує виконання стратегії розвитку закладу загальної середньої освіти, у тому числі здійснення інноваційної діяльності закладом освіти;</w:t>
      </w:r>
      <w:r/>
    </w:p>
    <w:p>
      <w:pPr>
        <w:pStyle w:val="649"/>
        <w:ind w:firstLine="567"/>
        <w:jc w:val="both"/>
        <w:spacing w:after="0" w:afterAutospacing="0" w:before="0" w:beforeAutospacing="0"/>
        <w:rPr>
          <w:sz w:val="28"/>
          <w:szCs w:val="28"/>
          <w:lang w:val="uk-UA"/>
        </w:rPr>
      </w:pPr>
      <w:r>
        <w:rPr>
          <w:sz w:val="28"/>
          <w:szCs w:val="28"/>
          <w:lang w:val="uk-UA"/>
        </w:rPr>
        <w:t xml:space="preserve">- </w:t>
      </w:r>
      <w:r>
        <w:rPr>
          <w:sz w:val="28"/>
          <w:szCs w:val="28"/>
        </w:rPr>
        <w:t xml:space="preserve">утворює та ліквіду</w:t>
      </w:r>
      <w:r>
        <w:rPr>
          <w:sz w:val="28"/>
          <w:szCs w:val="28"/>
          <w:lang w:val="uk-UA"/>
        </w:rPr>
        <w:t xml:space="preserve">є</w:t>
      </w:r>
      <w:r>
        <w:rPr>
          <w:sz w:val="28"/>
          <w:szCs w:val="28"/>
        </w:rPr>
        <w:t xml:space="preserve"> структурні підрозділи у заснован</w:t>
      </w:r>
      <w:r>
        <w:rPr>
          <w:sz w:val="28"/>
          <w:szCs w:val="28"/>
          <w:lang w:val="uk-UA"/>
        </w:rPr>
        <w:t xml:space="preserve">ому</w:t>
      </w:r>
      <w:r>
        <w:rPr>
          <w:sz w:val="28"/>
          <w:szCs w:val="28"/>
        </w:rPr>
        <w:t xml:space="preserve"> ним заклад</w:t>
      </w:r>
      <w:r>
        <w:rPr>
          <w:sz w:val="28"/>
          <w:szCs w:val="28"/>
          <w:lang w:val="uk-UA"/>
        </w:rPr>
        <w:t xml:space="preserve">і</w:t>
      </w:r>
      <w:r>
        <w:rPr>
          <w:sz w:val="28"/>
          <w:szCs w:val="28"/>
        </w:rPr>
        <w:t xml:space="preserve"> загальної середньої освіти;</w:t>
      </w:r>
      <w:r/>
    </w:p>
    <w:p>
      <w:pPr>
        <w:pStyle w:val="649"/>
        <w:ind w:firstLine="567"/>
        <w:jc w:val="both"/>
        <w:spacing w:after="0" w:afterAutospacing="0" w:before="0" w:beforeAutospacing="0"/>
        <w:rPr>
          <w:sz w:val="28"/>
          <w:szCs w:val="28"/>
        </w:rPr>
      </w:pPr>
      <w:r>
        <w:rPr>
          <w:color w:val="000000"/>
          <w:sz w:val="28"/>
          <w:szCs w:val="28"/>
          <w:lang w:val="uk-UA"/>
        </w:rPr>
        <w:t xml:space="preserve">- </w:t>
      </w:r>
      <w:r>
        <w:rPr>
          <w:color w:val="000000"/>
          <w:sz w:val="28"/>
          <w:szCs w:val="28"/>
        </w:rPr>
        <w:t xml:space="preserve">здійснює контроль за використанням закладом загальної середньої освіти публічних коштів;</w:t>
      </w:r>
      <w:r/>
    </w:p>
    <w:p>
      <w:pPr>
        <w:pStyle w:val="648"/>
        <w:ind w:firstLine="567"/>
        <w:jc w:val="both"/>
        <w:spacing w:after="0" w:afterAutospacing="0" w:before="0" w:beforeAutospacing="0"/>
        <w:rPr>
          <w:sz w:val="28"/>
          <w:szCs w:val="28"/>
        </w:rPr>
      </w:pPr>
      <w:r>
        <w:rPr>
          <w:color w:val="000000"/>
          <w:sz w:val="28"/>
          <w:szCs w:val="28"/>
          <w:lang w:val="uk-UA"/>
        </w:rPr>
        <w:t xml:space="preserve">- </w:t>
      </w:r>
      <w:r>
        <w:rPr>
          <w:color w:val="000000"/>
          <w:sz w:val="28"/>
          <w:szCs w:val="28"/>
        </w:rPr>
        <w:t xml:space="preserve">затверджує установчі документи закладу освіти, їх нову редакцію та зміни до них;</w:t>
      </w:r>
      <w:r/>
    </w:p>
    <w:p>
      <w:pPr>
        <w:pStyle w:val="649"/>
        <w:ind w:firstLine="567"/>
        <w:jc w:val="both"/>
        <w:spacing w:after="0" w:afterAutospacing="0" w:before="0" w:beforeAutospacing="0"/>
        <w:rPr>
          <w:color w:val="000000"/>
          <w:sz w:val="28"/>
          <w:szCs w:val="28"/>
          <w:lang w:val="uk-UA"/>
        </w:rPr>
      </w:pPr>
      <w:r>
        <w:rPr>
          <w:color w:val="000000"/>
          <w:sz w:val="28"/>
          <w:szCs w:val="28"/>
          <w:lang w:val="uk-UA"/>
        </w:rPr>
        <w:t xml:space="preserve">- </w:t>
      </w:r>
      <w:r>
        <w:rPr>
          <w:color w:val="000000"/>
          <w:sz w:val="28"/>
          <w:szCs w:val="28"/>
        </w:rPr>
        <w:t xml:space="preserve">забезпечує</w:t>
      </w:r>
      <w:r>
        <w:rPr>
          <w:color w:val="000000"/>
          <w:sz w:val="28"/>
          <w:szCs w:val="28"/>
          <w:lang w:val="uk-UA"/>
        </w:rPr>
        <w:t xml:space="preserve"> </w:t>
      </w:r>
      <w:r>
        <w:rPr>
          <w:color w:val="000000"/>
          <w:sz w:val="28"/>
          <w:szCs w:val="28"/>
        </w:rPr>
        <w:t xml:space="preserve">створення у закладі</w:t>
      </w:r>
      <w:r>
        <w:rPr>
          <w:color w:val="000000"/>
          <w:sz w:val="28"/>
          <w:szCs w:val="28"/>
          <w:lang w:val="uk-UA"/>
        </w:rPr>
        <w:t xml:space="preserve"> </w:t>
      </w:r>
      <w:r>
        <w:rPr>
          <w:color w:val="000000"/>
          <w:sz w:val="28"/>
          <w:szCs w:val="28"/>
        </w:rPr>
        <w:t xml:space="preserve">освіти</w:t>
      </w:r>
      <w:r>
        <w:rPr>
          <w:color w:val="000000"/>
          <w:sz w:val="28"/>
          <w:szCs w:val="28"/>
          <w:lang w:val="uk-UA"/>
        </w:rPr>
        <w:t xml:space="preserve"> </w:t>
      </w:r>
      <w:r>
        <w:rPr>
          <w:color w:val="000000"/>
          <w:sz w:val="28"/>
          <w:szCs w:val="28"/>
        </w:rPr>
        <w:t xml:space="preserve">інклюзивного</w:t>
      </w:r>
      <w:r>
        <w:rPr>
          <w:color w:val="000000"/>
          <w:sz w:val="28"/>
          <w:szCs w:val="28"/>
          <w:lang w:val="uk-UA"/>
        </w:rPr>
        <w:t xml:space="preserve"> </w:t>
      </w:r>
      <w:r>
        <w:rPr>
          <w:color w:val="000000"/>
          <w:sz w:val="28"/>
          <w:szCs w:val="28"/>
        </w:rPr>
        <w:t xml:space="preserve">освітнього</w:t>
      </w:r>
      <w:r>
        <w:rPr>
          <w:color w:val="000000"/>
          <w:sz w:val="28"/>
          <w:szCs w:val="28"/>
          <w:lang w:val="uk-UA"/>
        </w:rPr>
        <w:t xml:space="preserve"> </w:t>
      </w:r>
      <w:r>
        <w:rPr>
          <w:color w:val="000000"/>
          <w:sz w:val="28"/>
          <w:szCs w:val="28"/>
        </w:rPr>
        <w:t xml:space="preserve">середовища, універсального дизайну та розумного</w:t>
      </w:r>
      <w:r>
        <w:rPr>
          <w:color w:val="000000"/>
          <w:sz w:val="28"/>
          <w:szCs w:val="28"/>
          <w:lang w:val="uk-UA"/>
        </w:rPr>
        <w:t xml:space="preserve"> </w:t>
      </w:r>
      <w:r>
        <w:rPr>
          <w:color w:val="000000"/>
          <w:sz w:val="28"/>
          <w:szCs w:val="28"/>
        </w:rPr>
        <w:t xml:space="preserve">пристосування;</w:t>
      </w:r>
      <w:r/>
    </w:p>
    <w:p>
      <w:pPr>
        <w:pStyle w:val="649"/>
        <w:ind w:firstLine="567"/>
        <w:jc w:val="both"/>
        <w:spacing w:after="0" w:afterAutospacing="0" w:before="0" w:beforeAutospacing="0"/>
        <w:rPr>
          <w:sz w:val="28"/>
          <w:szCs w:val="28"/>
          <w:lang w:val="uk-UA"/>
        </w:rPr>
      </w:pPr>
      <w:r>
        <w:rPr>
          <w:sz w:val="28"/>
          <w:szCs w:val="28"/>
          <w:lang w:val="uk-UA"/>
        </w:rPr>
        <w:t xml:space="preserve">- забезпечує утримання та розвиток матеріальної-технічної бази заснованого ним закладу освіти на рівні, достатньому для виконання вимог стандартів освіти та ліцензійних умов;</w:t>
      </w:r>
      <w:r/>
    </w:p>
    <w:p>
      <w:pPr>
        <w:pStyle w:val="649"/>
        <w:ind w:firstLine="567"/>
        <w:jc w:val="both"/>
        <w:spacing w:after="0" w:afterAutospacing="0" w:before="0" w:beforeAutospacing="0"/>
        <w:rPr>
          <w:sz w:val="28"/>
          <w:szCs w:val="28"/>
          <w:lang w:val="uk-UA"/>
        </w:rPr>
      </w:pPr>
      <w:r>
        <w:rPr>
          <w:color w:val="000000"/>
          <w:sz w:val="28"/>
          <w:szCs w:val="28"/>
          <w:lang w:val="uk-UA"/>
        </w:rPr>
        <w:t xml:space="preserve">- </w:t>
      </w:r>
      <w:r>
        <w:rPr>
          <w:color w:val="000000"/>
          <w:sz w:val="28"/>
          <w:szCs w:val="28"/>
        </w:rPr>
        <w:t xml:space="preserve">реалізує інші права, передбачені законодавством та установчими документами закладу освіти</w:t>
      </w:r>
      <w:r>
        <w:rPr>
          <w:sz w:val="28"/>
          <w:szCs w:val="28"/>
        </w:rPr>
        <w:t xml:space="preserve">.</w:t>
      </w:r>
      <w:r/>
    </w:p>
    <w:p>
      <w:pPr>
        <w:pStyle w:val="649"/>
        <w:ind w:firstLine="567"/>
        <w:jc w:val="both"/>
        <w:spacing w:after="0" w:afterAutospacing="0" w:before="0" w:beforeAutospacing="0"/>
        <w:rPr>
          <w:sz w:val="28"/>
          <w:szCs w:val="28"/>
          <w:lang w:val="uk-UA"/>
        </w:rPr>
      </w:pPr>
      <w:r>
        <w:rPr>
          <w:sz w:val="28"/>
          <w:szCs w:val="28"/>
          <w:lang w:val="uk-UA"/>
        </w:rPr>
        <w:t xml:space="preserve">1.8</w:t>
      </w:r>
      <w:r>
        <w:rPr>
          <w:sz w:val="28"/>
          <w:szCs w:val="28"/>
          <w:lang w:val="uk-UA"/>
        </w:rPr>
        <w:t xml:space="preserve">. Орган управління:</w:t>
      </w:r>
      <w:r/>
    </w:p>
    <w:p>
      <w:pPr>
        <w:pStyle w:val="649"/>
        <w:ind w:firstLine="567"/>
        <w:jc w:val="both"/>
        <w:spacing w:after="0" w:afterAutospacing="0" w:before="0" w:beforeAutospacing="0"/>
        <w:rPr>
          <w:sz w:val="28"/>
          <w:szCs w:val="28"/>
          <w:lang w:val="uk-UA"/>
        </w:rPr>
      </w:pPr>
      <w:r>
        <w:rPr>
          <w:sz w:val="28"/>
          <w:szCs w:val="28"/>
          <w:lang w:val="uk-UA"/>
        </w:rPr>
        <w:t xml:space="preserve">- </w:t>
      </w:r>
      <w:r>
        <w:rPr>
          <w:sz w:val="28"/>
          <w:szCs w:val="28"/>
          <w:lang w:val="uk-UA"/>
        </w:rPr>
        <w:t xml:space="preserve">проводить конкурсний відбір на посаду директора закладу освіти у порядку, визначеному чинним законодавством та рішеннями Засновника;</w:t>
      </w:r>
      <w:r/>
    </w:p>
    <w:p>
      <w:pPr>
        <w:pStyle w:val="649"/>
        <w:ind w:firstLine="567"/>
        <w:jc w:val="both"/>
        <w:spacing w:after="0" w:afterAutospacing="0" w:before="0" w:beforeAutospacing="0"/>
        <w:rPr>
          <w:sz w:val="28"/>
          <w:szCs w:val="28"/>
        </w:rPr>
      </w:pPr>
      <w:r>
        <w:rPr>
          <w:sz w:val="28"/>
          <w:szCs w:val="28"/>
          <w:lang w:val="uk-UA"/>
        </w:rPr>
        <w:t xml:space="preserve">- </w:t>
      </w:r>
      <w:r>
        <w:rPr>
          <w:sz w:val="28"/>
          <w:szCs w:val="28"/>
        </w:rPr>
        <w:t xml:space="preserve">укладає та розриває трудовий договір (контракт) з керівником закладу освіти у порядку, встановленому законодавством</w:t>
      </w:r>
      <w:r>
        <w:rPr>
          <w:sz w:val="28"/>
          <w:szCs w:val="28"/>
          <w:lang w:val="uk-UA"/>
        </w:rPr>
        <w:t xml:space="preserve">, рішеннями Засновника</w:t>
      </w:r>
      <w:r>
        <w:rPr>
          <w:sz w:val="28"/>
          <w:szCs w:val="28"/>
        </w:rPr>
        <w:t xml:space="preserve"> та </w:t>
      </w:r>
      <w:r>
        <w:rPr>
          <w:sz w:val="28"/>
          <w:szCs w:val="28"/>
          <w:lang w:val="uk-UA"/>
        </w:rPr>
        <w:t xml:space="preserve">Статутом </w:t>
      </w:r>
      <w:r>
        <w:rPr>
          <w:sz w:val="28"/>
          <w:szCs w:val="28"/>
        </w:rPr>
        <w:t xml:space="preserve"> закладу освіти;</w:t>
      </w:r>
      <w:r/>
    </w:p>
    <w:p>
      <w:pPr>
        <w:pStyle w:val="649"/>
        <w:ind w:firstLine="567"/>
        <w:jc w:val="both"/>
        <w:spacing w:after="0" w:afterAutospacing="0" w:before="0" w:beforeAutospacing="0"/>
        <w:rPr>
          <w:sz w:val="28"/>
          <w:szCs w:val="28"/>
        </w:rPr>
      </w:pPr>
      <w:r>
        <w:rPr>
          <w:sz w:val="28"/>
          <w:szCs w:val="28"/>
          <w:lang w:val="uk-UA"/>
        </w:rPr>
        <w:t xml:space="preserve">- </w:t>
      </w:r>
      <w:r>
        <w:rPr>
          <w:sz w:val="28"/>
          <w:szCs w:val="28"/>
        </w:rPr>
        <w:t xml:space="preserve">затверджує кошторис та приймає</w:t>
      </w:r>
      <w:r>
        <w:rPr>
          <w:sz w:val="28"/>
          <w:szCs w:val="28"/>
          <w:lang w:val="uk-UA"/>
        </w:rPr>
        <w:t xml:space="preserve"> </w:t>
      </w:r>
      <w:r>
        <w:rPr>
          <w:sz w:val="28"/>
          <w:szCs w:val="28"/>
        </w:rPr>
        <w:t xml:space="preserve"> фінансовий звіт закладу освіти у випадках та порядку, визначених законодавством;</w:t>
      </w:r>
      <w:r/>
    </w:p>
    <w:p>
      <w:pPr>
        <w:pStyle w:val="649"/>
        <w:ind w:firstLine="567"/>
        <w:jc w:val="both"/>
        <w:spacing w:after="0" w:afterAutospacing="0" w:before="0" w:beforeAutospacing="0"/>
        <w:rPr>
          <w:sz w:val="28"/>
          <w:szCs w:val="28"/>
          <w:lang w:val="uk-UA"/>
        </w:rPr>
      </w:pPr>
      <w:r>
        <w:rPr>
          <w:sz w:val="28"/>
          <w:szCs w:val="28"/>
          <w:lang w:val="uk-UA"/>
        </w:rPr>
        <w:t xml:space="preserve">- </w:t>
      </w:r>
      <w:r>
        <w:rPr>
          <w:sz w:val="28"/>
          <w:szCs w:val="28"/>
        </w:rPr>
        <w:t xml:space="preserve">здійснює контроль за фінансово-господарською діяльністю, дотриманням установчих документів закладу освіти, а також за недопущенням привілеїв чи обмежень за різними ознаками;</w:t>
      </w:r>
      <w:r/>
    </w:p>
    <w:p>
      <w:pPr>
        <w:pStyle w:val="649"/>
        <w:ind w:firstLine="567"/>
        <w:jc w:val="both"/>
        <w:spacing w:after="0" w:afterAutospacing="0" w:before="0" w:beforeAutospacing="0"/>
        <w:rPr>
          <w:sz w:val="28"/>
          <w:szCs w:val="28"/>
          <w:lang w:val="uk-UA"/>
        </w:rPr>
      </w:pPr>
      <w:r>
        <w:rPr>
          <w:sz w:val="28"/>
          <w:szCs w:val="28"/>
          <w:lang w:val="uk-UA"/>
        </w:rPr>
        <w:t xml:space="preserve">- є головним розпорядником бюджетних коштів по відношенню до закладу освіти;</w:t>
      </w:r>
      <w:r/>
    </w:p>
    <w:p>
      <w:pPr>
        <w:pStyle w:val="649"/>
        <w:ind w:firstLine="567"/>
        <w:jc w:val="both"/>
        <w:spacing w:after="0" w:afterAutospacing="0" w:before="0" w:beforeAutospacing="0"/>
        <w:rPr>
          <w:sz w:val="28"/>
          <w:szCs w:val="28"/>
          <w:lang w:val="uk-UA"/>
        </w:rPr>
      </w:pPr>
      <w:r>
        <w:rPr>
          <w:sz w:val="28"/>
          <w:szCs w:val="28"/>
          <w:lang w:val="uk-UA"/>
        </w:rPr>
        <w:t xml:space="preserve">- виконує інші повноваження, відповідно до законодавства та рішень Засновника.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1.9</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Здобувачі освіти</w:t>
      </w:r>
      <w:r>
        <w:rPr>
          <w:rFonts w:ascii="Times New Roman" w:hAnsi="Times New Roman" w:cs="Times New Roman"/>
          <w:sz w:val="28"/>
          <w:szCs w:val="28"/>
          <w:lang w:val="uk-UA"/>
        </w:rPr>
        <w:t xml:space="preserve"> забезпечуються медичним обслуговуванням, що здійснюється медичними працівниками, які входять до штату відповідних закладів охорони здоров’я, у порядку, встановленому Кабінетом Міністрів України.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1.10</w:t>
      </w:r>
      <w:r>
        <w:rPr>
          <w:rFonts w:ascii="Times New Roman" w:hAnsi="Times New Roman" w:cs="Times New Roman"/>
          <w:sz w:val="28"/>
          <w:szCs w:val="28"/>
          <w:lang w:val="uk-UA"/>
        </w:rPr>
        <w:t xml:space="preserve">. У закладі освіти </w:t>
      </w:r>
      <w:r>
        <w:rPr>
          <w:rFonts w:ascii="Times New Roman" w:hAnsi="Times New Roman" w:cs="Times New Roman"/>
          <w:sz w:val="28"/>
          <w:szCs w:val="28"/>
          <w:lang w:val="uk-UA"/>
        </w:rPr>
        <w:t xml:space="preserve">та його філіях </w:t>
      </w:r>
      <w:r>
        <w:rPr>
          <w:rFonts w:ascii="Times New Roman" w:hAnsi="Times New Roman" w:cs="Times New Roman"/>
          <w:sz w:val="28"/>
          <w:szCs w:val="28"/>
          <w:lang w:val="uk-UA"/>
        </w:rPr>
        <w:t xml:space="preserve">ді</w:t>
      </w:r>
      <w:r>
        <w:rPr>
          <w:rFonts w:ascii="Times New Roman" w:hAnsi="Times New Roman" w:cs="Times New Roman"/>
          <w:sz w:val="28"/>
          <w:szCs w:val="28"/>
          <w:lang w:val="uk-UA"/>
        </w:rPr>
        <w:t xml:space="preserve">ють бібліотеки</w:t>
      </w:r>
      <w:r>
        <w:rPr>
          <w:rFonts w:ascii="Times New Roman" w:hAnsi="Times New Roman" w:cs="Times New Roman"/>
          <w:sz w:val="28"/>
          <w:szCs w:val="28"/>
          <w:lang w:val="uk-UA"/>
        </w:rPr>
        <w:t xml:space="preserve">. Бібліотека є осередком, в якому реалізуються потреби </w:t>
      </w:r>
      <w:r>
        <w:rPr>
          <w:rFonts w:ascii="Times New Roman" w:hAnsi="Times New Roman" w:cs="Times New Roman"/>
          <w:sz w:val="28"/>
          <w:szCs w:val="28"/>
          <w:lang w:val="uk-UA"/>
        </w:rPr>
        <w:t xml:space="preserve">та інтереси здобувачів освіти, освітні</w:t>
      </w:r>
      <w:r>
        <w:rPr>
          <w:rFonts w:ascii="Times New Roman" w:hAnsi="Times New Roman" w:cs="Times New Roman"/>
          <w:sz w:val="28"/>
          <w:szCs w:val="28"/>
          <w:lang w:val="uk-UA"/>
        </w:rPr>
        <w:t xml:space="preserve"> завдання</w:t>
      </w:r>
      <w:r>
        <w:rPr>
          <w:rFonts w:ascii="Times New Roman" w:hAnsi="Times New Roman" w:cs="Times New Roman"/>
          <w:sz w:val="28"/>
          <w:szCs w:val="28"/>
          <w:lang w:val="uk-UA"/>
        </w:rPr>
        <w:t xml:space="preserve"> закладу освіти у сфері культурної та інформаційної освіти молоді. Вона слугує також вдосконаленню майстерності педагогічних працівників, популяризації педагогічних знань серед батьків, поширенню знань про регіон. Послугами бібліотеки можуть користуватися: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здобувачі освіти</w:t>
      </w:r>
      <w:r>
        <w:rPr>
          <w:rFonts w:ascii="Times New Roman" w:hAnsi="Times New Roman" w:cs="Times New Roman"/>
          <w:sz w:val="28"/>
          <w:szCs w:val="28"/>
          <w:lang w:val="uk-UA"/>
        </w:rPr>
        <w:t xml:space="preserve"> (учні)</w:t>
      </w:r>
      <w:r>
        <w:rPr>
          <w:rFonts w:ascii="Times New Roman" w:hAnsi="Times New Roman" w:cs="Times New Roman"/>
          <w:sz w:val="28"/>
          <w:szCs w:val="28"/>
          <w:lang w:val="uk-UA"/>
        </w:rPr>
        <w:t xml:space="preserve">;</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педагогічні працівники і інші працівники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батьки здобувачів освіти або особи, які їх замінюють.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Бібліотечний фонд загального користування складають: підручники, інформаційні і періодичні видання, художня література (обов’язкова і додат</w:t>
      </w:r>
      <w:r>
        <w:rPr>
          <w:rFonts w:ascii="Times New Roman" w:hAnsi="Times New Roman" w:cs="Times New Roman"/>
          <w:sz w:val="28"/>
          <w:szCs w:val="28"/>
          <w:lang w:val="uk-UA"/>
        </w:rPr>
        <w:t xml:space="preserve">кова), </w:t>
      </w:r>
      <w:r>
        <w:rPr>
          <w:rFonts w:ascii="Times New Roman" w:hAnsi="Times New Roman" w:cs="Times New Roman"/>
          <w:sz w:val="28"/>
          <w:szCs w:val="28"/>
          <w:lang w:val="uk-UA"/>
        </w:rPr>
        <w:t xml:space="preserve">довідкові та популярні видання, преса, аудіовізуальні матеріали тощо. Бібліотека може отримувати матеріальну </w:t>
      </w:r>
      <w:r>
        <w:rPr>
          <w:rFonts w:ascii="Times New Roman" w:hAnsi="Times New Roman" w:cs="Times New Roman"/>
          <w:sz w:val="28"/>
          <w:szCs w:val="28"/>
          <w:lang w:val="uk-UA"/>
        </w:rPr>
        <w:t xml:space="preserve">і фінансову допомогу від батьківського самоврядування закладу освіти, благодійну допомогу, добровільні внески у вигляді коштів, матеріальних цінностей, нематеріальних активів, одержаних від підприємств, установ, організацій, фізичних осіб та інших джерел.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1.11</w:t>
      </w:r>
      <w:r>
        <w:rPr>
          <w:rFonts w:ascii="Times New Roman" w:hAnsi="Times New Roman" w:cs="Times New Roman"/>
          <w:sz w:val="28"/>
          <w:szCs w:val="28"/>
          <w:lang w:val="uk-UA"/>
        </w:rPr>
        <w:t xml:space="preserve">. Заклад освіти у своїй діяльності керується Конституцією України, Законами України «Про освіту», «Про повну загальну середню освіту», Конвенцією </w:t>
      </w:r>
      <w:r>
        <w:rPr>
          <w:rFonts w:ascii="Times New Roman" w:hAnsi="Times New Roman" w:cs="Times New Roman"/>
          <w:sz w:val="28"/>
          <w:szCs w:val="28"/>
          <w:lang w:val="uk-UA"/>
        </w:rPr>
        <w:t xml:space="preserve">ООН </w:t>
      </w:r>
      <w:r>
        <w:rPr>
          <w:rFonts w:ascii="Times New Roman" w:hAnsi="Times New Roman" w:cs="Times New Roman"/>
          <w:sz w:val="28"/>
          <w:szCs w:val="28"/>
          <w:lang w:val="uk-UA"/>
        </w:rPr>
        <w:t xml:space="preserve">«Про права дитини», іншими нормативно-правовими актами України</w:t>
      </w:r>
      <w:r>
        <w:rPr>
          <w:rFonts w:ascii="Times New Roman" w:hAnsi="Times New Roman" w:cs="Times New Roman"/>
          <w:sz w:val="28"/>
          <w:szCs w:val="28"/>
          <w:lang w:val="uk-UA"/>
        </w:rPr>
        <w:t xml:space="preserve">,</w:t>
      </w:r>
      <w:r>
        <w:rPr>
          <w:rFonts w:ascii="Times New Roman" w:hAnsi="Times New Roman" w:cs="Times New Roman"/>
          <w:sz w:val="28"/>
          <w:szCs w:val="28"/>
          <w:lang w:val="uk-UA"/>
        </w:rPr>
        <w:t xml:space="preserve">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Міністерства освіти і науки України, інших центральних органів виконавчої влади, рішеннями </w:t>
      </w:r>
      <w:r>
        <w:rPr>
          <w:rFonts w:ascii="Times New Roman" w:hAnsi="Times New Roman" w:cs="Times New Roman"/>
          <w:sz w:val="28"/>
          <w:szCs w:val="28"/>
          <w:lang w:val="uk-UA"/>
        </w:rPr>
        <w:t xml:space="preserve">Менської міської ради</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колективним договором, </w:t>
      </w:r>
      <w:r>
        <w:rPr>
          <w:rFonts w:ascii="Times New Roman" w:hAnsi="Times New Roman" w:cs="Times New Roman"/>
          <w:sz w:val="28"/>
          <w:szCs w:val="28"/>
          <w:lang w:val="uk-UA"/>
        </w:rPr>
        <w:t xml:space="preserve">цим Статутом. </w:t>
      </w:r>
      <w:r/>
    </w:p>
    <w:p>
      <w:pPr>
        <w:ind w:firstLine="567"/>
        <w:jc w:val="both"/>
        <w:spacing w:lineRule="auto" w:line="240" w:after="0"/>
        <w:rPr>
          <w:rFonts w:ascii="Times New Roman" w:hAnsi="Times New Roman" w:cs="Times New Roman" w:eastAsia="Calibri"/>
          <w:sz w:val="28"/>
          <w:szCs w:val="28"/>
          <w:lang w:val="uk-UA"/>
        </w:rPr>
      </w:pPr>
      <w:r>
        <w:rPr>
          <w:rFonts w:ascii="Times New Roman" w:hAnsi="Times New Roman" w:cs="Times New Roman"/>
          <w:sz w:val="28"/>
          <w:szCs w:val="28"/>
          <w:lang w:val="uk-UA"/>
        </w:rPr>
        <w:t xml:space="preserve">1.1</w:t>
      </w:r>
      <w:r>
        <w:rPr>
          <w:rFonts w:ascii="Times New Roman" w:hAnsi="Times New Roman" w:cs="Times New Roman"/>
          <w:sz w:val="28"/>
          <w:szCs w:val="28"/>
          <w:lang w:val="uk-UA"/>
        </w:rPr>
        <w:t xml:space="preserve">2</w:t>
      </w:r>
      <w:r>
        <w:rPr>
          <w:rFonts w:ascii="Times New Roman" w:hAnsi="Times New Roman" w:cs="Times New Roman"/>
          <w:sz w:val="28"/>
          <w:szCs w:val="28"/>
          <w:lang w:val="uk-UA"/>
        </w:rPr>
        <w:t xml:space="preserve">. Заклад освіти є юридичною особою, має самост</w:t>
      </w:r>
      <w:r>
        <w:rPr>
          <w:rFonts w:ascii="Times New Roman" w:hAnsi="Times New Roman" w:cs="Times New Roman"/>
          <w:sz w:val="28"/>
          <w:szCs w:val="28"/>
          <w:lang w:val="uk-UA"/>
        </w:rPr>
        <w:t xml:space="preserve">ійний баланс, рахунки в установах</w:t>
      </w:r>
      <w:r>
        <w:rPr>
          <w:rFonts w:ascii="Times New Roman" w:hAnsi="Times New Roman" w:cs="Times New Roman"/>
          <w:sz w:val="28"/>
          <w:szCs w:val="28"/>
          <w:lang w:val="uk-UA"/>
        </w:rPr>
        <w:t xml:space="preserve"> банку, печатку, штамп, ідентифікаційн</w:t>
      </w:r>
      <w:r>
        <w:rPr>
          <w:rFonts w:ascii="Times New Roman" w:hAnsi="Times New Roman" w:cs="Times New Roman"/>
          <w:sz w:val="28"/>
          <w:szCs w:val="28"/>
          <w:lang w:val="uk-UA"/>
        </w:rPr>
        <w:t xml:space="preserve">ий номер, самостійно здійснює господарчу діяльність та бухгалтерський облік </w:t>
      </w:r>
      <w:r>
        <w:rPr>
          <w:rFonts w:ascii="Times New Roman" w:hAnsi="Times New Roman" w:cs="Times New Roman"/>
          <w:sz w:val="28"/>
          <w:szCs w:val="28"/>
          <w:lang w:val="uk-UA"/>
        </w:rPr>
        <w:t xml:space="preserve">на умовах договору про надання послуг із планування, фінансування, ведення </w:t>
      </w:r>
      <w:r>
        <w:rPr>
          <w:rFonts w:ascii="Times New Roman" w:hAnsi="Times New Roman" w:cs="Times New Roman"/>
          <w:sz w:val="28"/>
          <w:szCs w:val="28"/>
          <w:lang w:val="uk-UA"/>
        </w:rPr>
        <w:t xml:space="preserve">бухгалтерського обліку з Комунальною установою «Центр з обслуговування освітніх установ та закладів освіти» Менської міської ради.</w:t>
      </w:r>
      <w:r>
        <w:rPr>
          <w:rFonts w:ascii="Times New Roman" w:hAnsi="Times New Roman" w:cs="Times New Roman"/>
          <w:sz w:val="28"/>
          <w:szCs w:val="28"/>
          <w:lang w:val="uk-UA"/>
        </w:rPr>
        <w:t xml:space="preserve"> </w:t>
      </w:r>
      <w:r>
        <w:rPr>
          <w:rFonts w:ascii="Times New Roman" w:hAnsi="Times New Roman" w:cs="Times New Roman" w:eastAsia="Calibri"/>
          <w:sz w:val="28"/>
          <w:szCs w:val="28"/>
          <w:lang w:val="uk-UA"/>
        </w:rPr>
        <w:t xml:space="preserve">Має право відкривати реєстраційний, спеціальний реєстраційний та інші рахунки в органах Державного казначейства України.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Може ма</w:t>
      </w:r>
      <w:r>
        <w:rPr>
          <w:rFonts w:ascii="Times New Roman" w:hAnsi="Times New Roman" w:cs="Times New Roman"/>
          <w:sz w:val="28"/>
          <w:szCs w:val="28"/>
          <w:lang w:val="uk-UA"/>
        </w:rPr>
        <w:t xml:space="preserve">ти виконані державною мовою, якщо інше не встановлено Законом України «Про забезпечення функціонування української мови як державної»: вивіску встановленого зразка, виконану власну символіку і атрибутику, а саме прапор, гімн, емблему, значок, логотип тощо.</w:t>
      </w:r>
      <w:r/>
    </w:p>
    <w:p>
      <w:pPr>
        <w:ind w:firstLine="567"/>
        <w:jc w:val="both"/>
        <w:spacing w:lineRule="auto" w:line="240" w:after="0"/>
        <w:shd w:val="clear" w:fill="FFFFFF" w:color="auto"/>
        <w:rPr>
          <w:rFonts w:ascii="Arial" w:hAnsi="Arial" w:cs="Arial" w:eastAsia="Times New Roman"/>
          <w:color w:val="000000"/>
          <w:sz w:val="17"/>
          <w:szCs w:val="17"/>
          <w:lang w:eastAsia="ru-RU"/>
        </w:rPr>
      </w:pPr>
      <w:r>
        <w:rPr>
          <w:rFonts w:ascii="Times New Roman" w:hAnsi="Times New Roman" w:cs="Times New Roman"/>
          <w:sz w:val="28"/>
          <w:szCs w:val="28"/>
          <w:lang w:val="uk-UA"/>
        </w:rPr>
        <w:t xml:space="preserve">1.13</w:t>
      </w:r>
      <w:r>
        <w:rPr>
          <w:rFonts w:ascii="Times New Roman" w:hAnsi="Times New Roman" w:cs="Times New Roman"/>
          <w:sz w:val="28"/>
          <w:szCs w:val="28"/>
          <w:lang w:val="uk-UA"/>
        </w:rPr>
        <w:t xml:space="preserve">. </w:t>
      </w:r>
      <w:r>
        <w:rPr>
          <w:rFonts w:ascii="Times New Roman" w:hAnsi="Times New Roman" w:cs="Times New Roman" w:eastAsia="Times New Roman"/>
          <w:color w:val="000000"/>
          <w:sz w:val="28"/>
          <w:szCs w:val="28"/>
          <w:lang w:val="uk-UA" w:eastAsia="ru-RU"/>
        </w:rPr>
        <w:t xml:space="preserve">Філії закладу освіти не є окремими юридичними особами, не мають самостійний баланс, рахунки в установах банку, печатку, штамп, ідентифікаційний номер.</w:t>
      </w:r>
      <w:r/>
    </w:p>
    <w:p>
      <w:pPr>
        <w:ind w:firstLine="567"/>
        <w:jc w:val="both"/>
        <w:spacing w:lineRule="auto" w:line="240" w:after="0"/>
        <w:shd w:val="clear" w:fill="FFFFFF" w:color="auto"/>
        <w:rPr>
          <w:rFonts w:ascii="Arial" w:hAnsi="Arial" w:cs="Arial" w:eastAsia="Times New Roman"/>
          <w:color w:val="000000"/>
          <w:sz w:val="17"/>
          <w:szCs w:val="17"/>
          <w:lang w:eastAsia="ru-RU"/>
        </w:rPr>
      </w:pPr>
      <w:r>
        <w:rPr>
          <w:rFonts w:ascii="Times New Roman" w:hAnsi="Times New Roman" w:cs="Times New Roman" w:eastAsia="Times New Roman"/>
          <w:color w:val="000000"/>
          <w:sz w:val="28"/>
          <w:szCs w:val="28"/>
          <w:lang w:val="uk-UA" w:eastAsia="ru-RU"/>
        </w:rPr>
        <w:t xml:space="preserve">Майно, закріплене за  філією,  перебуває на балансі опорного закладу. </w:t>
      </w:r>
      <w:r/>
    </w:p>
    <w:p>
      <w:pPr>
        <w:ind w:firstLine="567"/>
        <w:jc w:val="both"/>
        <w:spacing w:lineRule="auto" w:line="240" w:after="0"/>
        <w:shd w:val="clear" w:fill="FFFFFF" w:color="auto"/>
        <w:rPr>
          <w:rFonts w:ascii="Arial" w:hAnsi="Arial" w:cs="Arial" w:eastAsia="Times New Roman"/>
          <w:color w:val="000000"/>
          <w:sz w:val="17"/>
          <w:szCs w:val="17"/>
          <w:lang w:eastAsia="ru-RU"/>
        </w:rPr>
      </w:pPr>
      <w:r>
        <w:rPr>
          <w:rFonts w:ascii="Times New Roman" w:hAnsi="Times New Roman" w:cs="Times New Roman" w:eastAsia="Times New Roman"/>
          <w:color w:val="000000"/>
          <w:sz w:val="28"/>
          <w:szCs w:val="28"/>
          <w:lang w:val="uk-UA" w:eastAsia="ru-RU"/>
        </w:rPr>
        <w:t xml:space="preserve">Здобувачі освіти філій входять до загального контингенту закладу освіти, педагогічні та інші працівники філій входять до загального складу працівників закладу освіти.</w:t>
      </w:r>
      <w:r/>
    </w:p>
    <w:p>
      <w:pPr>
        <w:ind w:firstLine="567"/>
        <w:jc w:val="both"/>
        <w:spacing w:lineRule="auto" w:line="240" w:after="0"/>
        <w:shd w:val="clear" w:fill="FFFFFF" w:color="auto"/>
        <w:rPr>
          <w:rFonts w:ascii="Arial" w:hAnsi="Arial" w:cs="Arial" w:eastAsia="Times New Roman"/>
          <w:color w:val="000000"/>
          <w:sz w:val="17"/>
          <w:szCs w:val="17"/>
          <w:lang w:eastAsia="ru-RU"/>
        </w:rPr>
      </w:pPr>
      <w:r>
        <w:rPr>
          <w:rFonts w:ascii="Times New Roman" w:hAnsi="Times New Roman" w:cs="Times New Roman" w:eastAsia="Times New Roman"/>
          <w:color w:val="000000"/>
          <w:sz w:val="28"/>
          <w:szCs w:val="28"/>
          <w:lang w:val="uk-UA" w:eastAsia="ru-RU"/>
        </w:rPr>
        <w:t xml:space="preserve">Господарська діяльність  філій забезпечується закладом освіти на умовах, визначених рішеннями Засновника та даним Статутом. </w:t>
      </w:r>
      <w:r/>
    </w:p>
    <w:p>
      <w:pPr>
        <w:ind w:firstLine="567"/>
        <w:jc w:val="both"/>
        <w:spacing w:lineRule="auto" w:line="240" w:after="0"/>
        <w:rPr>
          <w:rFonts w:ascii="Times New Roman" w:hAnsi="Times New Roman" w:cs="Times New Roman"/>
          <w:sz w:val="28"/>
          <w:szCs w:val="26"/>
          <w:shd w:val="clear" w:fill="FFFFFF" w:color="auto"/>
          <w:lang w:val="uk-UA"/>
        </w:rPr>
      </w:pPr>
      <w:r>
        <w:rPr>
          <w:rFonts w:ascii="Times New Roman" w:hAnsi="Times New Roman" w:cs="Times New Roman"/>
          <w:sz w:val="28"/>
          <w:szCs w:val="26"/>
          <w:lang w:val="uk-UA"/>
        </w:rPr>
        <w:t xml:space="preserve">1.14</w:t>
      </w:r>
      <w:r>
        <w:rPr>
          <w:rFonts w:ascii="Times New Roman" w:hAnsi="Times New Roman" w:cs="Times New Roman"/>
          <w:sz w:val="28"/>
          <w:szCs w:val="26"/>
          <w:lang w:val="uk-UA"/>
        </w:rPr>
        <w:t xml:space="preserve">.</w:t>
      </w:r>
      <w:r>
        <w:rPr>
          <w:rFonts w:ascii="Times New Roman" w:hAnsi="Times New Roman" w:cs="Times New Roman"/>
          <w:sz w:val="28"/>
          <w:szCs w:val="26"/>
          <w:shd w:val="clear" w:fill="FFFFFF" w:color="auto"/>
          <w:lang w:val="uk-UA"/>
        </w:rPr>
        <w:t xml:space="preserve"> </w:t>
      </w:r>
      <w:r>
        <w:rPr>
          <w:rFonts w:ascii="Times New Roman" w:hAnsi="Times New Roman" w:cs="Times New Roman"/>
          <w:sz w:val="28"/>
          <w:szCs w:val="26"/>
          <w:shd w:val="clear" w:fill="FFFFFF" w:color="auto"/>
          <w:lang w:val="uk-UA"/>
        </w:rPr>
        <w:t xml:space="preserve">Заклад освіти здійснює свою діяльність за наявності ліцензії на право провадження освітньої діяльності у сфері </w:t>
      </w:r>
      <w:r>
        <w:rPr>
          <w:rFonts w:ascii="Times New Roman" w:hAnsi="Times New Roman" w:cs="Times New Roman"/>
          <w:sz w:val="28"/>
          <w:szCs w:val="26"/>
          <w:shd w:val="clear" w:fill="FFFFFF" w:color="auto"/>
          <w:lang w:val="uk-UA"/>
        </w:rPr>
        <w:t xml:space="preserve">загальної середньої освіти (на рівнях початкової освіти, базової середньої, профільної освіти)</w:t>
      </w:r>
      <w:r>
        <w:rPr>
          <w:rFonts w:ascii="Times New Roman" w:hAnsi="Times New Roman" w:cs="Times New Roman"/>
          <w:sz w:val="28"/>
          <w:szCs w:val="26"/>
          <w:shd w:val="clear" w:fill="FFFFFF" w:color="auto"/>
          <w:lang w:val="uk-UA"/>
        </w:rPr>
        <w:t xml:space="preserve">, виданої у встановленому законодавством України порядку.</w:t>
      </w:r>
      <w:r/>
    </w:p>
    <w:p>
      <w:pPr>
        <w:ind w:firstLine="567"/>
        <w:jc w:val="both"/>
        <w:spacing w:lineRule="auto" w:line="240" w:after="0"/>
        <w:rPr>
          <w:rFonts w:ascii="Times New Roman" w:hAnsi="Times New Roman" w:cs="Times New Roman"/>
          <w:sz w:val="28"/>
          <w:szCs w:val="26"/>
          <w:shd w:val="clear" w:fill="FFFFFF" w:color="auto"/>
          <w:lang w:val="uk-UA"/>
        </w:rPr>
      </w:pPr>
      <w:r>
        <w:rPr>
          <w:rFonts w:ascii="Times New Roman" w:hAnsi="Times New Roman" w:cs="Times New Roman"/>
          <w:sz w:val="28"/>
          <w:szCs w:val="26"/>
          <w:shd w:val="clear" w:fill="FFFFFF" w:color="auto"/>
          <w:lang w:val="uk-UA"/>
        </w:rPr>
        <w:t xml:space="preserve">1.15. </w:t>
      </w:r>
      <w:r>
        <w:rPr>
          <w:rStyle w:val="660"/>
          <w:rFonts w:ascii="Times New Roman" w:hAnsi="Times New Roman"/>
          <w:bCs/>
          <w:sz w:val="28"/>
          <w:szCs w:val="28"/>
          <w:shd w:val="clear" w:fill="FFFFFF" w:color="auto"/>
        </w:rPr>
        <w:t xml:space="preserve">За організаційно</w:t>
      </w:r>
      <w:r>
        <w:rPr>
          <w:rStyle w:val="660"/>
          <w:rFonts w:ascii="Times New Roman" w:hAnsi="Times New Roman"/>
          <w:bCs/>
          <w:sz w:val="28"/>
          <w:szCs w:val="28"/>
          <w:shd w:val="clear" w:fill="FFFFFF" w:color="auto"/>
          <w:lang w:val="uk-UA"/>
        </w:rPr>
        <w:t xml:space="preserve"> </w:t>
      </w:r>
      <w:r>
        <w:rPr>
          <w:rStyle w:val="660"/>
          <w:rFonts w:ascii="Times New Roman" w:hAnsi="Times New Roman"/>
          <w:bCs/>
          <w:sz w:val="28"/>
          <w:szCs w:val="28"/>
          <w:shd w:val="clear" w:fill="FFFFFF" w:color="auto"/>
        </w:rPr>
        <w:t xml:space="preserve">-</w:t>
      </w:r>
      <w:r>
        <w:rPr>
          <w:rStyle w:val="660"/>
          <w:rFonts w:ascii="Times New Roman" w:hAnsi="Times New Roman"/>
          <w:bCs/>
          <w:sz w:val="28"/>
          <w:szCs w:val="28"/>
          <w:shd w:val="clear" w:fill="FFFFFF" w:color="auto"/>
          <w:lang w:val="uk-UA"/>
        </w:rPr>
        <w:t xml:space="preserve"> </w:t>
      </w:r>
      <w:r>
        <w:rPr>
          <w:rStyle w:val="660"/>
          <w:rFonts w:ascii="Times New Roman" w:hAnsi="Times New Roman"/>
          <w:bCs/>
          <w:sz w:val="28"/>
          <w:szCs w:val="28"/>
          <w:shd w:val="clear" w:fill="FFFFFF" w:color="auto"/>
        </w:rPr>
        <w:t xml:space="preserve">правовою формою заклад є комунальною</w:t>
      </w:r>
      <w:r>
        <w:rPr>
          <w:rStyle w:val="660"/>
          <w:rFonts w:ascii="Times New Roman" w:hAnsi="Times New Roman"/>
          <w:bCs/>
          <w:sz w:val="28"/>
          <w:szCs w:val="28"/>
          <w:shd w:val="clear" w:fill="FFFFFF" w:color="auto"/>
          <w:lang w:val="uk-UA"/>
        </w:rPr>
        <w:t xml:space="preserve">  </w:t>
      </w:r>
      <w:r>
        <w:rPr>
          <w:rStyle w:val="660"/>
          <w:rFonts w:ascii="Times New Roman" w:hAnsi="Times New Roman"/>
          <w:bCs/>
          <w:sz w:val="28"/>
          <w:szCs w:val="28"/>
          <w:shd w:val="clear" w:fill="FFFFFF" w:color="auto"/>
        </w:rPr>
        <w:t xml:space="preserve">організацією (установою, закладом)</w:t>
      </w:r>
      <w:r>
        <w:rPr>
          <w:rStyle w:val="660"/>
          <w:rFonts w:ascii="Times New Roman" w:hAnsi="Times New Roman"/>
          <w:bCs/>
          <w:sz w:val="28"/>
          <w:szCs w:val="28"/>
          <w:shd w:val="clear" w:fill="FFFFFF" w:color="auto"/>
          <w:lang w:val="uk-UA"/>
        </w:rPr>
        <w:t xml:space="preserve">.</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1.16</w:t>
      </w:r>
      <w:r>
        <w:rPr>
          <w:rFonts w:ascii="Times New Roman" w:hAnsi="Times New Roman" w:cs="Times New Roman"/>
          <w:sz w:val="28"/>
          <w:szCs w:val="28"/>
          <w:lang w:val="uk-UA"/>
        </w:rPr>
        <w:t xml:space="preserve">. Супровід заклад</w:t>
      </w:r>
      <w:r>
        <w:rPr>
          <w:rFonts w:ascii="Times New Roman" w:hAnsi="Times New Roman" w:cs="Times New Roman"/>
          <w:sz w:val="28"/>
          <w:szCs w:val="28"/>
          <w:lang w:val="uk-UA"/>
        </w:rPr>
        <w:t xml:space="preserve">у</w:t>
      </w:r>
      <w:r>
        <w:rPr>
          <w:rFonts w:ascii="Times New Roman" w:hAnsi="Times New Roman" w:cs="Times New Roman"/>
          <w:sz w:val="28"/>
          <w:szCs w:val="28"/>
          <w:lang w:val="uk-UA"/>
        </w:rPr>
        <w:t xml:space="preserve"> освіти в питаннях професійного зростання педагогів закладу, створення стратегії закладу, освітньої програми, інших питань здійснює Комунальна установа «Центр професійного розвитку педагогічних працівників Менської міської ради».   </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ІІ. Мета і завдання закладу</w:t>
      </w:r>
      <w:r>
        <w:rPr>
          <w:rFonts w:ascii="Times New Roman" w:hAnsi="Times New Roman" w:cs="Times New Roman"/>
          <w:b/>
          <w:sz w:val="28"/>
          <w:szCs w:val="28"/>
          <w:lang w:val="uk-UA"/>
        </w:rPr>
        <w:t xml:space="preserve">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2.1. Метою закладу освіти є забезпечення реалізації</w:t>
      </w:r>
      <w:r>
        <w:rPr>
          <w:rFonts w:ascii="Times New Roman" w:hAnsi="Times New Roman" w:cs="Times New Roman"/>
          <w:sz w:val="28"/>
          <w:szCs w:val="28"/>
          <w:lang w:val="uk-UA"/>
        </w:rPr>
        <w:t xml:space="preserve"> права громадян України на здобуття загальної середньої освіти відповідного рівня в умовах, сприятливих для фізичного та духовного розвитку, самовиховання і соціалізації дитини, її формування як цілісної особистості й відповідального громадянина України.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2.2. Головними завданнями закладу освіти є: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сприяння особистісному розвитку здобувача/здобувачки освіти,</w:t>
      </w:r>
      <w:r>
        <w:rPr>
          <w:rFonts w:ascii="Times New Roman" w:hAnsi="Times New Roman" w:cs="Times New Roman"/>
          <w:sz w:val="28"/>
          <w:szCs w:val="28"/>
          <w:lang w:val="uk-UA"/>
        </w:rPr>
        <w:t xml:space="preserve"> розвитку його/її здібностей і </w:t>
      </w:r>
      <w:r>
        <w:rPr>
          <w:rFonts w:ascii="Times New Roman" w:hAnsi="Times New Roman" w:cs="Times New Roman"/>
          <w:sz w:val="28"/>
          <w:szCs w:val="28"/>
          <w:lang w:val="uk-UA"/>
        </w:rPr>
        <w:t xml:space="preserve">обдарувань;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формування компетентност</w:t>
      </w:r>
      <w:r>
        <w:rPr>
          <w:rFonts w:ascii="Times New Roman" w:hAnsi="Times New Roman" w:cs="Times New Roman"/>
          <w:sz w:val="28"/>
          <w:szCs w:val="28"/>
          <w:lang w:val="uk-UA"/>
        </w:rPr>
        <w:t xml:space="preserve">ей, визначених Законом України «</w:t>
      </w:r>
      <w:r>
        <w:rPr>
          <w:rFonts w:ascii="Times New Roman" w:hAnsi="Times New Roman" w:cs="Times New Roman"/>
          <w:sz w:val="28"/>
          <w:szCs w:val="28"/>
          <w:lang w:val="uk-UA"/>
        </w:rPr>
        <w:t xml:space="preserve">Про освіту</w:t>
      </w:r>
      <w:r>
        <w:rPr>
          <w:rFonts w:ascii="Times New Roman" w:hAnsi="Times New Roman" w:cs="Times New Roman"/>
          <w:sz w:val="28"/>
          <w:szCs w:val="28"/>
          <w:lang w:val="uk-UA"/>
        </w:rPr>
        <w:t xml:space="preserve">»</w:t>
      </w:r>
      <w:r>
        <w:rPr>
          <w:rFonts w:ascii="Times New Roman" w:hAnsi="Times New Roman" w:cs="Times New Roman"/>
          <w:sz w:val="28"/>
          <w:szCs w:val="28"/>
          <w:lang w:val="uk-UA"/>
        </w:rPr>
        <w:t xml:space="preserve"> та державними стандартами;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виховання відповідального громадянина/громадянки України, орієнтованого/ї на цінності української національної культури, європейської ци</w:t>
      </w:r>
      <w:r>
        <w:rPr>
          <w:rFonts w:ascii="Times New Roman" w:hAnsi="Times New Roman" w:cs="Times New Roman"/>
          <w:sz w:val="28"/>
          <w:szCs w:val="28"/>
          <w:lang w:val="uk-UA"/>
        </w:rPr>
        <w:t xml:space="preserve">вілізації та з твердим наміром </w:t>
      </w:r>
      <w:r>
        <w:rPr>
          <w:rFonts w:ascii="Times New Roman" w:hAnsi="Times New Roman" w:cs="Times New Roman"/>
          <w:sz w:val="28"/>
          <w:szCs w:val="28"/>
          <w:lang w:val="uk-UA"/>
        </w:rPr>
        <w:t xml:space="preserve">діяти на користь іншим людям;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формування шанобливого ставлення до родини, поваги до народних традицій і звичаїв, державної мови, мов корінних народів і національних меншин, національних цінностей українського народу, інших народів і націй;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забезпечення рівного доступу здобувачів/здобувачок до загальної освіти з урахуванням їхніх фізичних та інтелектуальних можливостей;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створення передумов для соціальної адаптації, подальшої інтеграції в суспільство осіб з особливими освітніми потребами;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творення безпечного, ґрунтованого на довірі, демократичного, інклюзивного, розвивального та мотивуючого до навчання освітнього середовища, сприятливого для формування відповідального громадянина України;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раціональне і ефективне використання наявних фінансових, освітніх та природних ресурсів, оновлення матеріально-технічної і навчальної бази закладу для кращ</w:t>
      </w:r>
      <w:r>
        <w:rPr>
          <w:rFonts w:ascii="Times New Roman" w:hAnsi="Times New Roman" w:cs="Times New Roman"/>
          <w:sz w:val="28"/>
          <w:szCs w:val="28"/>
          <w:lang w:val="uk-UA"/>
        </w:rPr>
        <w:t xml:space="preserve">ого задоволення освітніх потреб </w:t>
      </w:r>
      <w:r>
        <w:rPr>
          <w:rFonts w:ascii="Times New Roman" w:hAnsi="Times New Roman" w:cs="Times New Roman"/>
          <w:sz w:val="28"/>
          <w:szCs w:val="28"/>
          <w:lang w:val="uk-UA"/>
        </w:rPr>
        <w:t xml:space="preserve">здобувачів/здобувачок;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функціонування в єдиному освітньому просторі для реалізації індивідуальних нахилів, потреб та інтересів учасників освітнього процесу, підготовки здобувачів/здобувачок до подальшої освіти і трудової діяльності.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2.3. </w:t>
      </w:r>
      <w:r>
        <w:rPr>
          <w:rFonts w:ascii="Times New Roman" w:hAnsi="Times New Roman" w:cs="Times New Roman"/>
          <w:sz w:val="28"/>
          <w:szCs w:val="28"/>
          <w:lang w:val="uk-UA"/>
        </w:rPr>
        <w:t xml:space="preserve">Заклад освіти сприяє індивідуалізації здобувачів/здобувачок освіти через додержання принципів: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а) самостійного вибору ціннісних пріоритетів, світоглядних засад, віросповідання, участі в релігійних обрядах;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б) вільного висловлення думок та відкритого вираження переконань, якщо вони не порушують права інших;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в) толерантності, </w:t>
      </w:r>
      <w:r>
        <w:rPr>
          <w:rFonts w:ascii="Times New Roman" w:hAnsi="Times New Roman" w:cs="Times New Roman"/>
          <w:sz w:val="28"/>
          <w:szCs w:val="28"/>
          <w:lang w:val="uk-UA"/>
        </w:rPr>
        <w:t xml:space="preserve">п</w:t>
      </w:r>
      <w:r>
        <w:rPr>
          <w:rFonts w:ascii="Times New Roman" w:hAnsi="Times New Roman" w:cs="Times New Roman"/>
          <w:sz w:val="28"/>
          <w:szCs w:val="28"/>
          <w:lang w:val="uk-UA"/>
        </w:rPr>
        <w:t xml:space="preserve">рийняття расових, національних </w:t>
      </w:r>
      <w:r>
        <w:rPr>
          <w:rFonts w:ascii="Times New Roman" w:hAnsi="Times New Roman" w:cs="Times New Roman"/>
          <w:sz w:val="28"/>
          <w:szCs w:val="28"/>
          <w:lang w:val="uk-UA"/>
        </w:rPr>
        <w:t xml:space="preserve">та релігійних відмінностей, поваги до релігійних обрядів різних конфесій;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г) рівноправ’я та однакового ставлення до здобувачів освіти попри їхню етнічну і гендерну ідентичність.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2.4. Заклад освіти сприяє самоідентифікації здобувачів/здобувачок  освіти, усвідомленню себе громадянином України через встановлення обов’язкових вимог: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а) </w:t>
      </w:r>
      <w:r>
        <w:rPr>
          <w:rFonts w:ascii="Times New Roman" w:hAnsi="Times New Roman" w:cs="Times New Roman"/>
          <w:sz w:val="28"/>
          <w:szCs w:val="28"/>
          <w:lang w:val="uk-UA"/>
        </w:rPr>
        <w:t xml:space="preserve">шанобливого ставлення і виявлення знаків поваги</w:t>
      </w:r>
      <w:r>
        <w:rPr>
          <w:rFonts w:ascii="Times New Roman" w:hAnsi="Times New Roman" w:cs="Times New Roman"/>
          <w:sz w:val="28"/>
          <w:szCs w:val="28"/>
          <w:lang w:val="uk-UA"/>
        </w:rPr>
        <w:t xml:space="preserve"> до державних символів України – Державного Прапора України, Державного Герба України та Державного Гімну України, дотримання визначеного законодавством України порядку використання державних символів та забезпечення належної системи їх правового захисту;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б) відзначення державних свят, пам’ятних дат та ювілеїв, визначених відповідними нормативними документами української держави;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в) організації навчальних екскурсій та поїздок </w:t>
      </w:r>
      <w:r>
        <w:rPr>
          <w:rFonts w:ascii="Times New Roman" w:hAnsi="Times New Roman" w:cs="Times New Roman"/>
          <w:sz w:val="28"/>
          <w:szCs w:val="28"/>
          <w:lang w:val="uk-UA"/>
        </w:rPr>
        <w:t xml:space="preserve">здобувачів освіти</w:t>
      </w:r>
      <w:r>
        <w:rPr>
          <w:rFonts w:ascii="Times New Roman" w:hAnsi="Times New Roman" w:cs="Times New Roman"/>
          <w:sz w:val="28"/>
          <w:szCs w:val="28"/>
          <w:lang w:val="uk-UA"/>
        </w:rPr>
        <w:t xml:space="preserve"> до місць національної пам’яті України;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г) ознайомлення з українською символікою, традиціями та звичаями українців, інших народів, що проживали на теренах рідного краю, України, інститутами та документами, які мають істотне значення для збереження демократичного характеру української держави;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д) безперешкодної діяльності у закладі органів самоврядування </w:t>
      </w:r>
      <w:r>
        <w:rPr>
          <w:rFonts w:ascii="Times New Roman" w:hAnsi="Times New Roman" w:cs="Times New Roman"/>
          <w:sz w:val="28"/>
          <w:szCs w:val="28"/>
          <w:lang w:val="uk-UA"/>
        </w:rPr>
        <w:t xml:space="preserve">здобувачів освіти</w:t>
      </w:r>
      <w:r>
        <w:rPr>
          <w:rFonts w:ascii="Times New Roman" w:hAnsi="Times New Roman" w:cs="Times New Roman"/>
          <w:sz w:val="28"/>
          <w:szCs w:val="28"/>
          <w:lang w:val="uk-UA"/>
        </w:rPr>
        <w:t xml:space="preserve"> і батьків;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е) співпраці з </w:t>
      </w:r>
      <w:r>
        <w:rPr>
          <w:rFonts w:ascii="Times New Roman" w:hAnsi="Times New Roman" w:cs="Times New Roman"/>
          <w:sz w:val="28"/>
          <w:szCs w:val="28"/>
          <w:lang w:val="uk-UA"/>
        </w:rPr>
        <w:t xml:space="preserve">місцевою громадою, громадськими організаціями, налагодження міжнародних культурних зв’язків.</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2.5. Відповідно до статті 21 Закону України «Про забезпечення функціонування української </w:t>
      </w:r>
      <w:r>
        <w:rPr>
          <w:rFonts w:ascii="Times New Roman" w:hAnsi="Times New Roman" w:cs="Times New Roman"/>
          <w:sz w:val="28"/>
          <w:szCs w:val="28"/>
          <w:lang w:val="uk-UA"/>
        </w:rPr>
        <w:t xml:space="preserve">мови як державної», ст. 5 п. 1 </w:t>
      </w:r>
      <w:r>
        <w:rPr>
          <w:rFonts w:ascii="Times New Roman" w:hAnsi="Times New Roman" w:cs="Times New Roman"/>
          <w:sz w:val="28"/>
          <w:szCs w:val="28"/>
          <w:lang w:val="uk-UA"/>
        </w:rPr>
        <w:t xml:space="preserve">Закону України «Про повну загальну середню освіту», ст.7 Закону України «Про освіту» – мовою освітнього процесу у закладі освіти</w:t>
      </w:r>
      <w:r>
        <w:rPr>
          <w:rFonts w:ascii="Times New Roman" w:hAnsi="Times New Roman" w:cs="Times New Roman"/>
          <w:sz w:val="28"/>
          <w:szCs w:val="28"/>
          <w:lang w:val="uk-UA"/>
        </w:rPr>
        <w:t xml:space="preserve"> є державна мова – українська.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Освітня програма закладу може передбачати викладання одного чи декількох навчальних предметів (інтегрованих курсів) поряд із державною мовою</w:t>
      </w:r>
      <w:r>
        <w:rPr>
          <w:rFonts w:ascii="Times New Roman" w:hAnsi="Times New Roman" w:cs="Times New Roman"/>
          <w:sz w:val="28"/>
          <w:szCs w:val="28"/>
          <w:lang w:val="uk-UA"/>
        </w:rPr>
        <w:t xml:space="preserve">,</w:t>
      </w:r>
      <w:r>
        <w:rPr>
          <w:rFonts w:ascii="Times New Roman" w:hAnsi="Times New Roman" w:cs="Times New Roman"/>
          <w:sz w:val="28"/>
          <w:szCs w:val="28"/>
          <w:lang w:val="uk-UA"/>
        </w:rPr>
        <w:t xml:space="preserve"> англійською чи іншою офіційною мовою Європейського Союзу.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2.6. </w:t>
      </w:r>
      <w:r>
        <w:rPr>
          <w:rFonts w:ascii="Times New Roman" w:hAnsi="Times New Roman" w:cs="Times New Roman"/>
          <w:sz w:val="28"/>
          <w:szCs w:val="28"/>
          <w:lang w:val="uk-UA"/>
        </w:rPr>
        <w:t xml:space="preserve">Заклад освіти самостійно приймає рішення і здійснює діяльність в межах своєї компетенції, передбаченої законодавством України, та власним Статутом.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2.7. Заклад освіти несе відповідальність перед учасниками освітнього процесу, територіальною громадою і державою за: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безпечні умови освітньої діяльності і норми Санітарного регламенту;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дотримання Державних стандартів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дотримання договірних зобов’язань з іншими суб'єктами освітньої, виробничої, наукової діяльності, у тому числі зобов'язань за міжнародними угодами;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дотримання фінансової дисципліни;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6"/>
          <w:lang w:val="uk-UA"/>
        </w:rPr>
        <w:t xml:space="preserve">- дотримання фінансової дисципліни та збереж</w:t>
      </w:r>
      <w:r>
        <w:rPr>
          <w:rFonts w:ascii="Times New Roman" w:hAnsi="Times New Roman" w:cs="Times New Roman"/>
          <w:sz w:val="28"/>
          <w:szCs w:val="26"/>
          <w:lang w:val="uk-UA"/>
        </w:rPr>
        <w:t xml:space="preserve">ення матеріально-технічної бази;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прозорість, інформаційну відкритість своєї діяльності.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2.8. Автономія закладу освіти визначається його правом: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планувати власну діяльність та формувати стратегію розвитку;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формувати освітню програму або окремі програми початкової, базової та профільної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на основі освітніх програм розробляти навчальний план, в тому числі в  установленому порядку розробляти і впроваджувати експериментальні та індивідуальні навчальні плани;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визначати форми, методи і засоби організації освітнь</w:t>
      </w:r>
      <w:r>
        <w:rPr>
          <w:rFonts w:ascii="Times New Roman" w:hAnsi="Times New Roman" w:cs="Times New Roman"/>
          <w:sz w:val="28"/>
          <w:szCs w:val="28"/>
          <w:lang w:val="uk-UA"/>
        </w:rPr>
        <w:t xml:space="preserve">ого процесу, обирати </w:t>
      </w:r>
      <w:r>
        <w:rPr>
          <w:rFonts w:ascii="Times New Roman" w:hAnsi="Times New Roman" w:cs="Times New Roman"/>
          <w:sz w:val="28"/>
          <w:szCs w:val="28"/>
          <w:lang w:val="uk-UA"/>
        </w:rPr>
        <w:t xml:space="preserve">підручники та навчально-методичне забезпечення;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 та міжнародним договорам;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забезпечувати функціонування внутрішньої системи якості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брати участь в установленому порядку в моніторингу якості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організувати та пропагувати серед учасників освітнього процесу волонтерську діяльність;</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забезпечувати добір і розстановку кадрів;</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отримувати кошти і матеріальні цінності від органів виконавчої влади, органів місцевого самоврядування, юридичних і фізичних осіб;</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на правах оперативного управління розпоряджатися рухомим і нерухомим майном згідно з законодавством України та цим Статутом;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залишати у своєму розпорядженні і використовувати власні надходження у порядку, визначеному законодавством України;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встановлювати власну символіку та атрибути, форму для учнів;</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надавати учасникам освітнього процесу додаткові освітні послуги</w:t>
      </w:r>
      <w:r>
        <w:rPr>
          <w:rFonts w:ascii="Times New Roman" w:hAnsi="Times New Roman" w:cs="Times New Roman"/>
          <w:sz w:val="28"/>
          <w:szCs w:val="28"/>
          <w:lang w:val="uk-UA"/>
        </w:rPr>
        <w:t xml:space="preserve">, що не суперечать чинному законодавству у сфері освіти</w:t>
      </w:r>
      <w:r>
        <w:rPr>
          <w:rFonts w:ascii="Times New Roman" w:hAnsi="Times New Roman" w:cs="Times New Roman"/>
          <w:sz w:val="28"/>
          <w:szCs w:val="28"/>
          <w:lang w:val="uk-UA"/>
        </w:rPr>
        <w:t xml:space="preserve">;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співпрацювати з національними, культурними товариствами, освітніми, громадськими, благодійними і гуманітарними організаціями та спільнотами національних меншин і релігійними громадами;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брати участь у роботі міжнародних організацій, асоціацій і рухів у проведенні науково-дослідницької, експериментальної, пошукової, просвітницької роботи;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здійснювати інші дії, що не суперечать чинному законодавству.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2.9. Заклад освіти бере на себе зобов’язання: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задовольняти потреби громадян, що проживають на території обслуговування закладу освіти, в здобутті </w:t>
      </w:r>
      <w:r>
        <w:rPr>
          <w:rFonts w:ascii="Times New Roman" w:hAnsi="Times New Roman" w:cs="Times New Roman"/>
          <w:sz w:val="28"/>
          <w:szCs w:val="28"/>
          <w:lang w:val="uk-UA"/>
        </w:rPr>
        <w:t xml:space="preserve">повної загальної</w:t>
      </w:r>
      <w:r>
        <w:rPr>
          <w:rFonts w:ascii="Times New Roman" w:hAnsi="Times New Roman" w:cs="Times New Roman"/>
          <w:sz w:val="28"/>
          <w:szCs w:val="28"/>
          <w:lang w:val="uk-UA"/>
        </w:rPr>
        <w:t xml:space="preserve"> середньої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гарантувати дотримання у межах своєї території положень Конституції України, Законів України «Про освіту», «Про повну загальну середню освіту», Конвенції </w:t>
      </w:r>
      <w:r>
        <w:rPr>
          <w:rFonts w:ascii="Times New Roman" w:hAnsi="Times New Roman" w:cs="Times New Roman"/>
          <w:sz w:val="28"/>
          <w:szCs w:val="28"/>
          <w:lang w:val="uk-UA"/>
        </w:rPr>
        <w:t xml:space="preserve">ООН </w:t>
      </w:r>
      <w:r>
        <w:rPr>
          <w:rFonts w:ascii="Times New Roman" w:hAnsi="Times New Roman" w:cs="Times New Roman"/>
          <w:sz w:val="28"/>
          <w:szCs w:val="28"/>
          <w:lang w:val="uk-UA"/>
        </w:rPr>
        <w:t xml:space="preserve">«Про права дитини», інших нормативно-правових актів України та цього Статуту;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планувати та здійснювати освітню діяльність відповідно до Державних стандартів початкової, базової та профільної середньої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забезпечувати єдність навчання та виховання;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оцінювати рівень загальної середньої освіти здобувача/здобувачки відповідно до критеріїв та показників Державних стандартів початкової/ базової/ профільної середньої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створювати </w:t>
      </w:r>
      <w:r>
        <w:rPr>
          <w:rFonts w:ascii="Times New Roman" w:hAnsi="Times New Roman" w:cs="Times New Roman"/>
          <w:sz w:val="28"/>
          <w:szCs w:val="28"/>
          <w:lang w:val="uk-UA"/>
        </w:rPr>
        <w:t xml:space="preserve">умови, безпечні для життя і здоров’я здобувачів освіти, педагогічних та інших працівників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 потреби створювати інклюзивні та/або спеціальні групи і класи для навчання осіб з особливими освітніми потребами;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додержуватись фінансової дисципліни, зберігати матеріальну базу; розвивати власну науково-методичну і матеріально-технічну базу;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видавати здобувачам освіти документи про освіту встановленого зразка;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проходити плановий інституційний аудит у терміни та в порядку, визначеному освітнім законодавством;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здійснювати інші повноваження делеговані</w:t>
      </w:r>
      <w:r>
        <w:rPr>
          <w:rFonts w:ascii="Times New Roman" w:hAnsi="Times New Roman" w:cs="Times New Roman"/>
          <w:sz w:val="28"/>
          <w:szCs w:val="28"/>
          <w:lang w:val="uk-UA"/>
        </w:rPr>
        <w:t xml:space="preserve"> З</w:t>
      </w:r>
      <w:r>
        <w:rPr>
          <w:rFonts w:ascii="Times New Roman" w:hAnsi="Times New Roman" w:cs="Times New Roman"/>
          <w:sz w:val="28"/>
          <w:szCs w:val="28"/>
          <w:lang w:val="uk-UA"/>
        </w:rPr>
        <w:t xml:space="preserve">асновником </w:t>
      </w:r>
      <w:r>
        <w:rPr>
          <w:rFonts w:ascii="Times New Roman" w:hAnsi="Times New Roman" w:cs="Times New Roman"/>
          <w:sz w:val="28"/>
          <w:szCs w:val="28"/>
          <w:lang w:val="uk-UA"/>
        </w:rPr>
        <w:t xml:space="preserve">Органом управління.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2.10. Заклад освіти</w:t>
      </w:r>
      <w:r>
        <w:rPr>
          <w:rFonts w:ascii="Times New Roman" w:hAnsi="Times New Roman" w:cs="Times New Roman"/>
          <w:sz w:val="28"/>
          <w:szCs w:val="28"/>
          <w:lang w:val="uk-UA"/>
        </w:rPr>
        <w:t xml:space="preserve"> співпрацює з дитячими та молодіжними об’єднаннями, громадс</w:t>
      </w:r>
      <w:r>
        <w:rPr>
          <w:rFonts w:ascii="Times New Roman" w:hAnsi="Times New Roman" w:cs="Times New Roman"/>
          <w:sz w:val="28"/>
          <w:szCs w:val="28"/>
          <w:lang w:val="uk-UA"/>
        </w:rPr>
        <w:t xml:space="preserve">ькими організаціями, які згідно із установчими документами займаються  підтримкою та розвитком освіти і/або культури в Україні, підтримують міжнародні освітні обміни та контакти, сприяють участі школи у міжнародних програмах, проектах, конкурсах, грантах.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2.11. </w:t>
      </w:r>
      <w:r>
        <w:rPr>
          <w:rFonts w:ascii="Times New Roman" w:hAnsi="Times New Roman" w:cs="Times New Roman"/>
          <w:sz w:val="28"/>
          <w:szCs w:val="28"/>
          <w:lang w:val="uk-UA"/>
        </w:rPr>
        <w:t xml:space="preserve">Взаємовідносини закладу освіти з юридичними і фізичними особами визначаються угодами, що укладені між ними у порядку встановленому законодавством України.</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ІІІ. Організація освітнього процесу</w:t>
      </w:r>
      <w:r>
        <w:rPr>
          <w:rFonts w:ascii="Times New Roman" w:hAnsi="Times New Roman" w:cs="Times New Roman"/>
          <w:b/>
          <w:sz w:val="28"/>
          <w:szCs w:val="28"/>
          <w:lang w:val="uk-UA"/>
        </w:rPr>
        <w:t xml:space="preserve"> в закладі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3.1. Освітній процес у закладі освіти здій</w:t>
      </w:r>
      <w:r>
        <w:rPr>
          <w:rFonts w:ascii="Times New Roman" w:hAnsi="Times New Roman" w:cs="Times New Roman"/>
          <w:sz w:val="28"/>
          <w:szCs w:val="28"/>
          <w:lang w:val="uk-UA"/>
        </w:rPr>
        <w:t xml:space="preserve">снюється відповідно до освітніх програм (в тому числі філій закладу)</w:t>
      </w:r>
      <w:r>
        <w:rPr>
          <w:rFonts w:ascii="Times New Roman" w:hAnsi="Times New Roman" w:cs="Times New Roman"/>
          <w:sz w:val="28"/>
          <w:szCs w:val="28"/>
          <w:lang w:val="uk-UA"/>
        </w:rPr>
        <w:t xml:space="preserve">, порядок розроблення як</w:t>
      </w:r>
      <w:r>
        <w:rPr>
          <w:rFonts w:ascii="Times New Roman" w:hAnsi="Times New Roman" w:cs="Times New Roman"/>
          <w:sz w:val="28"/>
          <w:szCs w:val="28"/>
          <w:lang w:val="uk-UA"/>
        </w:rPr>
        <w:t xml:space="preserve">их</w:t>
      </w:r>
      <w:r>
        <w:rPr>
          <w:rFonts w:ascii="Times New Roman" w:hAnsi="Times New Roman" w:cs="Times New Roman"/>
          <w:sz w:val="28"/>
          <w:szCs w:val="28"/>
          <w:lang w:val="uk-UA"/>
        </w:rPr>
        <w:t xml:space="preserve"> визначено </w:t>
      </w:r>
      <w:r>
        <w:rPr>
          <w:rFonts w:ascii="Times New Roman" w:hAnsi="Times New Roman" w:cs="Times New Roman"/>
          <w:sz w:val="28"/>
          <w:szCs w:val="28"/>
          <w:lang w:val="uk-UA"/>
        </w:rPr>
        <w:t xml:space="preserve">чинним</w:t>
      </w:r>
      <w:r>
        <w:rPr>
          <w:rFonts w:ascii="Times New Roman" w:hAnsi="Times New Roman" w:cs="Times New Roman"/>
          <w:sz w:val="28"/>
          <w:szCs w:val="28"/>
          <w:lang w:val="uk-UA"/>
        </w:rPr>
        <w:t xml:space="preserve"> законодавством. Освітні</w:t>
      </w:r>
      <w:r>
        <w:rPr>
          <w:rFonts w:ascii="Times New Roman" w:hAnsi="Times New Roman" w:cs="Times New Roman"/>
          <w:sz w:val="28"/>
          <w:szCs w:val="28"/>
          <w:lang w:val="uk-UA"/>
        </w:rPr>
        <w:t xml:space="preserve"> програм</w:t>
      </w:r>
      <w:r>
        <w:rPr>
          <w:rFonts w:ascii="Times New Roman" w:hAnsi="Times New Roman" w:cs="Times New Roman"/>
          <w:sz w:val="28"/>
          <w:szCs w:val="28"/>
          <w:lang w:val="uk-UA"/>
        </w:rPr>
        <w:t xml:space="preserve">и</w:t>
      </w:r>
      <w:r>
        <w:rPr>
          <w:rFonts w:ascii="Times New Roman" w:hAnsi="Times New Roman" w:cs="Times New Roman"/>
          <w:sz w:val="28"/>
          <w:szCs w:val="28"/>
          <w:lang w:val="uk-UA"/>
        </w:rPr>
        <w:t xml:space="preserve"> схвалює педагогічна рада закладу освіти</w:t>
      </w:r>
      <w:r>
        <w:rPr>
          <w:rFonts w:ascii="Times New Roman" w:hAnsi="Times New Roman" w:cs="Times New Roman"/>
          <w:sz w:val="28"/>
          <w:szCs w:val="28"/>
          <w:lang w:val="uk-UA"/>
        </w:rPr>
        <w:t xml:space="preserve"> та затверджує керівник. Освітні програми</w:t>
      </w:r>
      <w:r>
        <w:rPr>
          <w:rFonts w:ascii="Times New Roman" w:hAnsi="Times New Roman" w:cs="Times New Roman"/>
          <w:sz w:val="28"/>
          <w:szCs w:val="28"/>
          <w:lang w:val="uk-UA"/>
        </w:rPr>
        <w:t xml:space="preserve"> закладу освіти</w:t>
      </w:r>
      <w:r>
        <w:rPr>
          <w:rFonts w:ascii="Times New Roman" w:hAnsi="Times New Roman" w:cs="Times New Roman"/>
          <w:sz w:val="28"/>
          <w:szCs w:val="28"/>
          <w:lang w:val="uk-UA"/>
        </w:rPr>
        <w:t xml:space="preserve"> та його філій спрямовані</w:t>
      </w:r>
      <w:r>
        <w:rPr>
          <w:rFonts w:ascii="Times New Roman" w:hAnsi="Times New Roman" w:cs="Times New Roman"/>
          <w:sz w:val="28"/>
          <w:szCs w:val="28"/>
          <w:lang w:val="uk-UA"/>
        </w:rPr>
        <w:t xml:space="preserve"> на виявлення та розвиток здібностей та обдарувань особи, досягнення результатів навчання, прогресу в розвитку, формування і застосування відповідних компетентностей, визначених державними стандартами.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3.2. Заклад освіти планує свою роботу самостійно. На основі чинн</w:t>
      </w:r>
      <w:r>
        <w:rPr>
          <w:rFonts w:ascii="Times New Roman" w:hAnsi="Times New Roman" w:cs="Times New Roman"/>
          <w:sz w:val="28"/>
          <w:szCs w:val="28"/>
          <w:lang w:val="uk-UA"/>
        </w:rPr>
        <w:t xml:space="preserve">их</w:t>
      </w:r>
      <w:r>
        <w:rPr>
          <w:rFonts w:ascii="Times New Roman" w:hAnsi="Times New Roman" w:cs="Times New Roman"/>
          <w:sz w:val="28"/>
          <w:szCs w:val="28"/>
          <w:lang w:val="uk-UA"/>
        </w:rPr>
        <w:t xml:space="preserve"> освітн</w:t>
      </w:r>
      <w:r>
        <w:rPr>
          <w:rFonts w:ascii="Times New Roman" w:hAnsi="Times New Roman" w:cs="Times New Roman"/>
          <w:sz w:val="28"/>
          <w:szCs w:val="28"/>
          <w:lang w:val="uk-UA"/>
        </w:rPr>
        <w:t xml:space="preserve">іх програм</w:t>
      </w:r>
      <w:r>
        <w:rPr>
          <w:rFonts w:ascii="Times New Roman" w:hAnsi="Times New Roman" w:cs="Times New Roman"/>
          <w:sz w:val="28"/>
          <w:szCs w:val="28"/>
          <w:lang w:val="uk-UA"/>
        </w:rPr>
        <w:t xml:space="preserve"> педагогічна рада складає, а керівник затв</w:t>
      </w:r>
      <w:r>
        <w:rPr>
          <w:rFonts w:ascii="Times New Roman" w:hAnsi="Times New Roman" w:cs="Times New Roman"/>
          <w:sz w:val="28"/>
          <w:szCs w:val="28"/>
          <w:lang w:val="uk-UA"/>
        </w:rPr>
        <w:t xml:space="preserve">ерджує річний план роботи закладу та навчальний план закладу, що конкретизують організацію освітнього процесу на навчальний рік (перелік навчальних предметів (інтегрованих курсів), обов’язкових для вивчення вибіркових (за вибором учнів) освітніх компоненті</w:t>
      </w:r>
      <w:r>
        <w:rPr>
          <w:rFonts w:ascii="Times New Roman" w:hAnsi="Times New Roman" w:cs="Times New Roman"/>
          <w:sz w:val="28"/>
          <w:szCs w:val="28"/>
          <w:lang w:val="uk-UA"/>
        </w:rPr>
        <w:t xml:space="preserve">в, зокрема навчальних предметів</w:t>
      </w:r>
      <w:r>
        <w:rPr>
          <w:rFonts w:ascii="Times New Roman" w:hAnsi="Times New Roman" w:cs="Times New Roman"/>
          <w:sz w:val="28"/>
          <w:szCs w:val="28"/>
          <w:lang w:val="uk-UA"/>
        </w:rPr>
        <w:t xml:space="preserve">, курсів, інтегрованих курсів та кількість навчальних годин на тиждень (та/або кількість годин на навчальний рік). Плани роботи психологічної, соціальної служб та інших</w:t>
      </w:r>
      <w:r>
        <w:rPr>
          <w:rFonts w:ascii="Times New Roman" w:hAnsi="Times New Roman" w:cs="Times New Roman"/>
          <w:sz w:val="28"/>
          <w:szCs w:val="28"/>
          <w:lang w:val="uk-UA"/>
        </w:rPr>
        <w:t xml:space="preserve"> (за наявності)</w:t>
      </w:r>
      <w:r>
        <w:rPr>
          <w:rFonts w:ascii="Times New Roman" w:hAnsi="Times New Roman" w:cs="Times New Roman"/>
          <w:sz w:val="28"/>
          <w:szCs w:val="28"/>
          <w:lang w:val="uk-UA"/>
        </w:rPr>
        <w:t xml:space="preserve"> затверджує керівник закладу.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3.3. Питання спроможності </w:t>
      </w:r>
      <w:r>
        <w:rPr>
          <w:rFonts w:ascii="Times New Roman" w:hAnsi="Times New Roman" w:cs="Times New Roman"/>
          <w:sz w:val="28"/>
          <w:szCs w:val="28"/>
          <w:lang w:val="uk-UA"/>
        </w:rPr>
        <w:t xml:space="preserve">закладу та його філій</w:t>
      </w:r>
      <w:r>
        <w:rPr>
          <w:rFonts w:ascii="Times New Roman" w:hAnsi="Times New Roman" w:cs="Times New Roman"/>
          <w:sz w:val="28"/>
          <w:szCs w:val="28"/>
          <w:lang w:val="uk-UA"/>
        </w:rPr>
        <w:t xml:space="preserve"> забезпечити реалізацію індивідуальної освітньої траєкторії та розроблення</w:t>
      </w:r>
      <w:r>
        <w:rPr>
          <w:rFonts w:ascii="Times New Roman" w:hAnsi="Times New Roman" w:cs="Times New Roman"/>
          <w:sz w:val="28"/>
          <w:szCs w:val="28"/>
          <w:lang w:val="uk-UA"/>
        </w:rPr>
        <w:t xml:space="preserve">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Рішення приймається з дотриманням вимог законодавства.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3.4. Заклад освіти</w:t>
      </w:r>
      <w:r>
        <w:rPr>
          <w:rFonts w:ascii="Times New Roman" w:hAnsi="Times New Roman" w:cs="Times New Roman"/>
          <w:sz w:val="28"/>
          <w:szCs w:val="28"/>
          <w:lang w:val="uk-UA"/>
        </w:rPr>
        <w:t xml:space="preserve"> та його філії</w:t>
      </w:r>
      <w:r>
        <w:rPr>
          <w:rFonts w:ascii="Times New Roman" w:hAnsi="Times New Roman" w:cs="Times New Roman"/>
          <w:sz w:val="28"/>
          <w:szCs w:val="28"/>
          <w:lang w:val="uk-UA"/>
        </w:rPr>
        <w:t xml:space="preserve"> працю</w:t>
      </w:r>
      <w:r>
        <w:rPr>
          <w:rFonts w:ascii="Times New Roman" w:hAnsi="Times New Roman" w:cs="Times New Roman"/>
          <w:sz w:val="28"/>
          <w:szCs w:val="28"/>
          <w:lang w:val="uk-UA"/>
        </w:rPr>
        <w:t xml:space="preserve">ють</w:t>
      </w:r>
      <w:r>
        <w:rPr>
          <w:rFonts w:ascii="Times New Roman" w:hAnsi="Times New Roman" w:cs="Times New Roman"/>
          <w:sz w:val="28"/>
          <w:szCs w:val="28"/>
          <w:lang w:val="uk-UA"/>
        </w:rPr>
        <w:t xml:space="preserve"> за навчальними програмами, підручниками, посібниками, що мають відповідний гриф Міністерства освіти і нау</w:t>
      </w:r>
      <w:r>
        <w:rPr>
          <w:rFonts w:ascii="Times New Roman" w:hAnsi="Times New Roman" w:cs="Times New Roman"/>
          <w:sz w:val="28"/>
          <w:szCs w:val="28"/>
          <w:lang w:val="uk-UA"/>
        </w:rPr>
        <w:t xml:space="preserve">ки України (далі - МОН України)</w:t>
      </w:r>
      <w:r>
        <w:rPr>
          <w:rFonts w:ascii="Times New Roman" w:hAnsi="Times New Roman" w:cs="Times New Roman"/>
          <w:sz w:val="28"/>
          <w:szCs w:val="28"/>
          <w:lang w:val="uk-UA"/>
        </w:rPr>
        <w:t xml:space="preserve"> і забезпечує виконання освітніх завдань на кожному ступені навчання в</w:t>
      </w:r>
      <w:r>
        <w:rPr>
          <w:rFonts w:ascii="Times New Roman" w:hAnsi="Times New Roman" w:cs="Times New Roman"/>
          <w:sz w:val="28"/>
          <w:szCs w:val="28"/>
          <w:lang w:val="uk-UA"/>
        </w:rPr>
        <w:t xml:space="preserve">ідповідно до вікових особливостей та природних здібностей дітей. При вивченні іноземних мов заклад освіти має право, окрім підручників та посібників, затверджених МОН України, використовувати додаткові дидактичні матеріали та посібники для задоволення осві</w:t>
      </w:r>
      <w:r>
        <w:rPr>
          <w:rFonts w:ascii="Times New Roman" w:hAnsi="Times New Roman" w:cs="Times New Roman"/>
          <w:sz w:val="28"/>
          <w:szCs w:val="28"/>
          <w:lang w:val="uk-UA"/>
        </w:rPr>
        <w:t xml:space="preserve">тніх потреб здобувачів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3.5. Заклад освіти обирає форми, засоби і методи навчання та виховання відповідно до Закону України «Про загальну середню освіту» та цього Статуту з урахуванням специфіки, профілю та інших особливостей організації освітнього процесу.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3.6. Заклад освіти </w:t>
      </w:r>
      <w:r>
        <w:rPr>
          <w:rFonts w:ascii="Times New Roman" w:hAnsi="Times New Roman" w:cs="Times New Roman"/>
          <w:sz w:val="28"/>
          <w:szCs w:val="28"/>
          <w:lang w:val="uk-UA"/>
        </w:rPr>
        <w:t xml:space="preserve">та його філії </w:t>
      </w:r>
      <w:r>
        <w:rPr>
          <w:rFonts w:ascii="Times New Roman" w:hAnsi="Times New Roman" w:cs="Times New Roman"/>
          <w:sz w:val="28"/>
          <w:szCs w:val="28"/>
          <w:lang w:val="uk-UA"/>
        </w:rPr>
        <w:t xml:space="preserve">здійснює освітній процес за денною формою навчання.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3.7. Освітній процес у закладі освіти </w:t>
      </w:r>
      <w:r>
        <w:rPr>
          <w:rFonts w:ascii="Times New Roman" w:hAnsi="Times New Roman" w:cs="Times New Roman"/>
          <w:sz w:val="28"/>
          <w:szCs w:val="28"/>
          <w:lang w:val="uk-UA"/>
        </w:rPr>
        <w:t xml:space="preserve">та його філіях </w:t>
      </w:r>
      <w:r>
        <w:rPr>
          <w:rFonts w:ascii="Times New Roman" w:hAnsi="Times New Roman" w:cs="Times New Roman"/>
          <w:sz w:val="28"/>
          <w:szCs w:val="28"/>
          <w:lang w:val="uk-UA"/>
        </w:rPr>
        <w:t xml:space="preserve">може також </w:t>
      </w:r>
      <w:r>
        <w:rPr>
          <w:rFonts w:ascii="Times New Roman" w:hAnsi="Times New Roman" w:cs="Times New Roman"/>
          <w:sz w:val="28"/>
          <w:szCs w:val="28"/>
          <w:lang w:val="uk-UA"/>
        </w:rPr>
        <w:t xml:space="preserve">здійсню</w:t>
      </w:r>
      <w:r>
        <w:rPr>
          <w:rFonts w:ascii="Times New Roman" w:hAnsi="Times New Roman" w:cs="Times New Roman"/>
          <w:sz w:val="28"/>
          <w:szCs w:val="28"/>
          <w:lang w:val="uk-UA"/>
        </w:rPr>
        <w:t xml:space="preserve">ватись</w:t>
      </w:r>
      <w:r>
        <w:rPr>
          <w:rFonts w:ascii="Times New Roman" w:hAnsi="Times New Roman" w:cs="Times New Roman"/>
          <w:sz w:val="28"/>
          <w:szCs w:val="28"/>
          <w:lang w:val="uk-UA"/>
        </w:rPr>
        <w:t xml:space="preserve"> за індивідуальною (екстернат, сімейна (домашня), педагогічний патронаж), дистанційною</w:t>
      </w:r>
      <w:r>
        <w:rPr>
          <w:rFonts w:ascii="Times New Roman" w:hAnsi="Times New Roman" w:cs="Times New Roman"/>
          <w:sz w:val="28"/>
          <w:szCs w:val="28"/>
          <w:lang w:val="uk-UA"/>
        </w:rPr>
        <w:t xml:space="preserve">, змішаною (за необхідністю)</w:t>
      </w:r>
      <w:r>
        <w:rPr>
          <w:rFonts w:ascii="Times New Roman" w:hAnsi="Times New Roman" w:cs="Times New Roman"/>
          <w:sz w:val="28"/>
          <w:szCs w:val="28"/>
          <w:lang w:val="uk-UA"/>
        </w:rPr>
        <w:t xml:space="preserve"> формами навчання, за потребою орган</w:t>
      </w:r>
      <w:r>
        <w:rPr>
          <w:rFonts w:ascii="Times New Roman" w:hAnsi="Times New Roman" w:cs="Times New Roman"/>
          <w:sz w:val="28"/>
          <w:szCs w:val="28"/>
          <w:lang w:val="uk-UA"/>
        </w:rPr>
        <w:t xml:space="preserve">ізовується інклюзивне навчання.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3.8. В закладі освіти </w:t>
      </w:r>
      <w:r>
        <w:rPr>
          <w:rFonts w:ascii="Times New Roman" w:hAnsi="Times New Roman" w:cs="Times New Roman"/>
          <w:sz w:val="28"/>
          <w:szCs w:val="28"/>
          <w:lang w:val="uk-UA"/>
        </w:rPr>
        <w:t xml:space="preserve">та його філіях </w:t>
      </w:r>
      <w:r>
        <w:rPr>
          <w:rFonts w:ascii="Times New Roman" w:hAnsi="Times New Roman" w:cs="Times New Roman"/>
          <w:sz w:val="28"/>
          <w:szCs w:val="28"/>
          <w:lang w:val="uk-UA"/>
        </w:rPr>
        <w:t xml:space="preserve">може організовуватись поглиблене вивчення окремих предметів та/або профільне навча</w:t>
      </w:r>
      <w:r>
        <w:rPr>
          <w:rFonts w:ascii="Times New Roman" w:hAnsi="Times New Roman" w:cs="Times New Roman"/>
          <w:sz w:val="28"/>
          <w:szCs w:val="28"/>
          <w:lang w:val="uk-UA"/>
        </w:rPr>
        <w:t xml:space="preserve">ння (для здобувачів освіти 10-11</w:t>
      </w:r>
      <w:r>
        <w:rPr>
          <w:rFonts w:ascii="Times New Roman" w:hAnsi="Times New Roman" w:cs="Times New Roman"/>
          <w:sz w:val="28"/>
          <w:szCs w:val="28"/>
          <w:lang w:val="uk-UA"/>
        </w:rPr>
        <w:t xml:space="preserve"> класів).</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3.9</w:t>
      </w:r>
      <w:r>
        <w:rPr>
          <w:rFonts w:ascii="Times New Roman" w:hAnsi="Times New Roman" w:cs="Times New Roman"/>
          <w:sz w:val="28"/>
          <w:szCs w:val="28"/>
          <w:lang w:val="uk-UA"/>
        </w:rPr>
        <w:t xml:space="preserve">. Класи у закладі освіти </w:t>
      </w:r>
      <w:r>
        <w:rPr>
          <w:rFonts w:ascii="Times New Roman" w:hAnsi="Times New Roman" w:cs="Times New Roman"/>
          <w:sz w:val="28"/>
          <w:szCs w:val="28"/>
          <w:lang w:val="uk-UA"/>
        </w:rPr>
        <w:t xml:space="preserve">та його філіях </w:t>
      </w:r>
      <w:r>
        <w:rPr>
          <w:rFonts w:ascii="Times New Roman" w:hAnsi="Times New Roman" w:cs="Times New Roman"/>
          <w:sz w:val="28"/>
          <w:szCs w:val="28"/>
          <w:lang w:val="uk-UA"/>
        </w:rPr>
        <w:t xml:space="preserve">формуються згідно з </w:t>
      </w:r>
      <w:r>
        <w:rPr>
          <w:rFonts w:ascii="Times New Roman" w:hAnsi="Times New Roman" w:cs="Times New Roman"/>
          <w:sz w:val="28"/>
          <w:szCs w:val="28"/>
          <w:lang w:val="uk-UA"/>
        </w:rPr>
        <w:t xml:space="preserve">нормативами їх наповнюваності, встановленими законодавством, з урахуванням наявності приміщень, що відповідають санітарно-гігієнічним вимогам для здійснення освітнього процесу, що не допускає порушення права учнів (педагогічних працівників) на належні, без</w:t>
      </w:r>
      <w:r>
        <w:rPr>
          <w:rFonts w:ascii="Times New Roman" w:hAnsi="Times New Roman" w:cs="Times New Roman"/>
          <w:sz w:val="28"/>
          <w:szCs w:val="28"/>
          <w:lang w:val="uk-UA"/>
        </w:rPr>
        <w:t xml:space="preserve">печні та здорові умови навчання</w:t>
      </w:r>
      <w:r>
        <w:rPr>
          <w:rFonts w:ascii="Times New Roman" w:hAnsi="Times New Roman" w:cs="Times New Roman"/>
          <w:sz w:val="28"/>
          <w:szCs w:val="28"/>
          <w:lang w:val="uk-UA"/>
        </w:rPr>
        <w:t xml:space="preserve"> (праці) та відповідно до кількості поданих заяв про зарахування до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3.10</w:t>
      </w:r>
      <w:r>
        <w:rPr>
          <w:rFonts w:ascii="Times New Roman" w:hAnsi="Times New Roman" w:cs="Times New Roman"/>
          <w:sz w:val="28"/>
          <w:szCs w:val="28"/>
          <w:lang w:val="uk-UA"/>
        </w:rPr>
        <w:t xml:space="preserve">. Поділ класів на групи для вивчення окремих предметів у закладі освіти </w:t>
      </w:r>
      <w:r>
        <w:rPr>
          <w:rFonts w:ascii="Times New Roman" w:hAnsi="Times New Roman" w:cs="Times New Roman"/>
          <w:sz w:val="28"/>
          <w:szCs w:val="28"/>
          <w:lang w:val="uk-UA"/>
        </w:rPr>
        <w:t xml:space="preserve">та його філіях </w:t>
      </w:r>
      <w:r>
        <w:rPr>
          <w:rFonts w:ascii="Times New Roman" w:hAnsi="Times New Roman" w:cs="Times New Roman"/>
          <w:sz w:val="28"/>
          <w:szCs w:val="28"/>
          <w:lang w:val="uk-UA"/>
        </w:rPr>
        <w:t xml:space="preserve">здійснюється згідно з нормативами, встановленими МОН України. Для вивчення навчальних п</w:t>
      </w:r>
      <w:r>
        <w:rPr>
          <w:rFonts w:ascii="Times New Roman" w:hAnsi="Times New Roman" w:cs="Times New Roman"/>
          <w:sz w:val="28"/>
          <w:szCs w:val="28"/>
          <w:lang w:val="uk-UA"/>
        </w:rPr>
        <w:t xml:space="preserve">редметів, курсів, інтегрованих курсів, у тому числі вибіркових, можуть формуватися та функціонувати міжкласні групи, що включатимуть учнів різних класів одного або різних років навчання. Учні розподіляються між класами (групами) керівником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3.11</w:t>
      </w:r>
      <w:r>
        <w:rPr>
          <w:rFonts w:ascii="Times New Roman" w:hAnsi="Times New Roman" w:cs="Times New Roman"/>
          <w:sz w:val="28"/>
          <w:szCs w:val="28"/>
          <w:lang w:val="uk-UA"/>
        </w:rPr>
        <w:t xml:space="preserve">. У закладі освіти </w:t>
      </w:r>
      <w:r>
        <w:rPr>
          <w:rFonts w:ascii="Times New Roman" w:hAnsi="Times New Roman" w:cs="Times New Roman"/>
          <w:sz w:val="28"/>
          <w:szCs w:val="28"/>
          <w:lang w:val="uk-UA"/>
        </w:rPr>
        <w:t xml:space="preserve">та його філіях </w:t>
      </w:r>
      <w:r>
        <w:rPr>
          <w:rFonts w:ascii="Times New Roman" w:hAnsi="Times New Roman" w:cs="Times New Roman"/>
          <w:sz w:val="28"/>
          <w:szCs w:val="28"/>
          <w:lang w:val="uk-UA"/>
        </w:rPr>
        <w:t xml:space="preserve">для здобувачів освіти 1-6 класів за бажанням ї</w:t>
      </w:r>
      <w:r>
        <w:rPr>
          <w:rFonts w:ascii="Times New Roman" w:hAnsi="Times New Roman" w:cs="Times New Roman"/>
          <w:sz w:val="28"/>
          <w:szCs w:val="28"/>
          <w:lang w:val="uk-UA"/>
        </w:rPr>
        <w:t xml:space="preserve">х батьків або осіб, які їх замінюють, можуть створюватися групи подовженого дня. Зарахування до груп подовженого дня і відрахування здобувачів освіти із них здійснює своїм наказом керівник закладу освіти на підставі заяв батьків та осіб, які їх замінюють. </w:t>
      </w:r>
      <w:r>
        <w:rPr>
          <w:rFonts w:ascii="Times New Roman" w:hAnsi="Times New Roman" w:cs="Times New Roman"/>
          <w:sz w:val="28"/>
          <w:szCs w:val="28"/>
          <w:lang w:val="uk-UA"/>
        </w:rPr>
        <w:t xml:space="preserve">В разі необхідності та за наявності відповідних осіб з особливими освітніми потребами можуть створюватись інклюзивні групи подовженого дня.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3.12. Група п</w:t>
      </w:r>
      <w:r>
        <w:rPr>
          <w:rFonts w:ascii="Times New Roman" w:hAnsi="Times New Roman" w:cs="Times New Roman"/>
          <w:sz w:val="28"/>
          <w:szCs w:val="28"/>
          <w:lang w:val="uk-UA"/>
        </w:rPr>
        <w:t xml:space="preserve">одовженого дня може комплектуватися із здобувачів освіти одного або кількох класів, але не більше як чотирьох вік</w:t>
      </w:r>
      <w:r>
        <w:rPr>
          <w:rFonts w:ascii="Times New Roman" w:hAnsi="Times New Roman" w:cs="Times New Roman"/>
          <w:sz w:val="28"/>
          <w:szCs w:val="28"/>
          <w:lang w:val="uk-UA"/>
        </w:rPr>
        <w:t xml:space="preserve">ових груп. Режим роботи групи п</w:t>
      </w:r>
      <w:r>
        <w:rPr>
          <w:rFonts w:ascii="Times New Roman" w:hAnsi="Times New Roman" w:cs="Times New Roman"/>
          <w:sz w:val="28"/>
          <w:szCs w:val="28"/>
          <w:lang w:val="uk-UA"/>
        </w:rPr>
        <w:t xml:space="preserve">одовженого дня розробляється відповідно до Державних санітарних правил і норм улаштування, утримання закладів освіти та організації освітнього процесу, затверджує керівник закладу освіти. </w:t>
      </w:r>
      <w:r/>
    </w:p>
    <w:p>
      <w:pPr>
        <w:ind w:firstLine="567"/>
        <w:jc w:val="both"/>
        <w:spacing w:lineRule="auto" w:line="240" w:after="0"/>
        <w:rPr>
          <w:rFonts w:ascii="Times New Roman" w:hAnsi="Times New Roman" w:cs="Times New Roman"/>
          <w:color w:val="000000"/>
          <w:sz w:val="28"/>
          <w:szCs w:val="28"/>
          <w:lang w:val="uk-UA"/>
        </w:rPr>
      </w:pPr>
      <w:r>
        <w:rPr>
          <w:rFonts w:ascii="Times New Roman" w:hAnsi="Times New Roman" w:cs="Times New Roman"/>
          <w:color w:val="000000" w:themeColor="text1"/>
          <w:sz w:val="28"/>
          <w:szCs w:val="28"/>
          <w:lang w:val="uk-UA"/>
        </w:rPr>
        <w:t xml:space="preserve">3.13. Тривалість перебування здобувачів освіти у групі подовженого дня становить не більше шести годин на день.</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3.14</w:t>
      </w:r>
      <w:r>
        <w:rPr>
          <w:rFonts w:ascii="Times New Roman" w:hAnsi="Times New Roman" w:cs="Times New Roman"/>
          <w:sz w:val="28"/>
          <w:szCs w:val="28"/>
          <w:lang w:val="uk-UA"/>
        </w:rPr>
        <w:t xml:space="preserve">. Відповідальність за збереження навчального обладнання покладається на вихователя та інших п</w:t>
      </w:r>
      <w:r>
        <w:rPr>
          <w:rFonts w:ascii="Times New Roman" w:hAnsi="Times New Roman" w:cs="Times New Roman"/>
          <w:sz w:val="28"/>
          <w:szCs w:val="28"/>
          <w:lang w:val="uk-UA"/>
        </w:rPr>
        <w:t xml:space="preserve">едагогічних працівників групи п</w:t>
      </w:r>
      <w:r>
        <w:rPr>
          <w:rFonts w:ascii="Times New Roman" w:hAnsi="Times New Roman" w:cs="Times New Roman"/>
          <w:sz w:val="28"/>
          <w:szCs w:val="28"/>
          <w:lang w:val="uk-UA"/>
        </w:rPr>
        <w:t xml:space="preserve">одовженого дня.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3.15</w:t>
      </w:r>
      <w:r>
        <w:rPr>
          <w:rFonts w:ascii="Times New Roman" w:hAnsi="Times New Roman" w:cs="Times New Roman"/>
          <w:sz w:val="28"/>
          <w:szCs w:val="28"/>
          <w:lang w:val="uk-UA"/>
        </w:rPr>
        <w:t xml:space="preserve">. Зарахування зд</w:t>
      </w:r>
      <w:r>
        <w:rPr>
          <w:rFonts w:ascii="Times New Roman" w:hAnsi="Times New Roman" w:cs="Times New Roman"/>
          <w:sz w:val="28"/>
          <w:szCs w:val="28"/>
          <w:lang w:val="uk-UA"/>
        </w:rPr>
        <w:t xml:space="preserve">обувачів освіти до закладу освіти здійснюється згідно з чинним законодавством. Зарахування здобувачів освіти до закладу освіти проводиться наказом керівника закладу освіти, що видається на підставі заяви, копії свідоцтва про народження дитини, за наявності</w:t>
      </w:r>
      <w:r>
        <w:rPr>
          <w:rFonts w:ascii="Times New Roman" w:hAnsi="Times New Roman" w:cs="Times New Roman"/>
          <w:sz w:val="28"/>
          <w:szCs w:val="28"/>
          <w:lang w:val="uk-UA"/>
        </w:rPr>
        <w:t xml:space="preserve"> медичної довідки встановленого зразка і відповідного документа про освіту. До першого класу зараховуються як правило діти з 6 (шести) років. Особи з особливими освітніми потребами можуть розпочинати здобуття початкової освіти з іншого віку, а тривалість з</w:t>
      </w:r>
      <w:r>
        <w:rPr>
          <w:rFonts w:ascii="Times New Roman" w:hAnsi="Times New Roman" w:cs="Times New Roman"/>
          <w:sz w:val="28"/>
          <w:szCs w:val="28"/>
          <w:lang w:val="uk-UA"/>
        </w:rPr>
        <w:t xml:space="preserve">добуття ними початкової та базової середньої освіти може бути подовжена з доповненням освітньої програми корекційно-розвитковим складником. Керівник закладу освіти зобов’язаний вжити заходів для ознайомлення дітей та їх батьків або осіб, які їх заміняють, </w:t>
      </w:r>
      <w:r>
        <w:rPr>
          <w:rFonts w:ascii="Times New Roman" w:hAnsi="Times New Roman" w:cs="Times New Roman"/>
          <w:sz w:val="28"/>
          <w:szCs w:val="28"/>
          <w:lang w:val="uk-UA"/>
        </w:rPr>
        <w:t xml:space="preserve">з порядком зарахування до закладу освіти, Статутом, правилами внутрішнього розпорядку та іншими документами, що регламентують організацію освітнього процесу.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3.16</w:t>
      </w:r>
      <w:r>
        <w:rPr>
          <w:rFonts w:ascii="Times New Roman" w:hAnsi="Times New Roman" w:cs="Times New Roman"/>
          <w:sz w:val="28"/>
          <w:szCs w:val="28"/>
          <w:lang w:val="uk-UA"/>
        </w:rPr>
        <w:t xml:space="preserve">. Іноземні громадяни та особи без громадянства зараховуються до закладу освіти відповідно до законодавства та/або міжнародних договорів України.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3.17</w:t>
      </w:r>
      <w:r>
        <w:rPr>
          <w:rFonts w:ascii="Times New Roman" w:hAnsi="Times New Roman" w:cs="Times New Roman"/>
          <w:sz w:val="28"/>
          <w:szCs w:val="28"/>
          <w:lang w:val="uk-UA"/>
        </w:rPr>
        <w:t xml:space="preserve">. Переведення здобувачів освіти до наступного класу здійснюється у порядку, встановленому МОН України.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3.18</w:t>
      </w:r>
      <w:r>
        <w:rPr>
          <w:rFonts w:ascii="Times New Roman" w:hAnsi="Times New Roman" w:cs="Times New Roman"/>
          <w:sz w:val="28"/>
          <w:szCs w:val="28"/>
          <w:lang w:val="uk-UA"/>
        </w:rPr>
        <w:t xml:space="preserve">. У разі переходу здобувача освіти до іншого закладу освіти для з</w:t>
      </w:r>
      <w:r>
        <w:rPr>
          <w:rFonts w:ascii="Times New Roman" w:hAnsi="Times New Roman" w:cs="Times New Roman"/>
          <w:sz w:val="28"/>
          <w:szCs w:val="28"/>
          <w:lang w:val="uk-UA"/>
        </w:rPr>
        <w:t xml:space="preserve">добуття загальної середньої освіти батьки або особи, що їх замінюють, подають до закладу освіти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3.19</w:t>
      </w:r>
      <w:r>
        <w:rPr>
          <w:rFonts w:ascii="Times New Roman" w:hAnsi="Times New Roman" w:cs="Times New Roman"/>
          <w:sz w:val="28"/>
          <w:szCs w:val="28"/>
          <w:lang w:val="uk-UA"/>
        </w:rPr>
        <w:t xml:space="preserve">. Навчальний рік у закладі освіти</w:t>
      </w:r>
      <w:r>
        <w:rPr>
          <w:rFonts w:ascii="Times New Roman" w:hAnsi="Times New Roman" w:cs="Times New Roman"/>
          <w:sz w:val="28"/>
          <w:szCs w:val="28"/>
          <w:lang w:val="uk-UA"/>
        </w:rPr>
        <w:t xml:space="preserve"> та його філіях</w:t>
      </w:r>
      <w:r>
        <w:rPr>
          <w:rFonts w:ascii="Times New Roman" w:hAnsi="Times New Roman" w:cs="Times New Roman"/>
          <w:sz w:val="28"/>
          <w:szCs w:val="28"/>
          <w:lang w:val="uk-UA"/>
        </w:rPr>
        <w:t xml:space="preserve"> розпочинається Днем знань 1 вересня, триває не менше 175 навчальних днів і закінчується не пізніше 1 липня наступного року, якщо нормативні документи </w:t>
      </w:r>
      <w:r>
        <w:rPr>
          <w:rFonts w:ascii="Times New Roman" w:hAnsi="Times New Roman" w:cs="Times New Roman"/>
          <w:sz w:val="28"/>
          <w:szCs w:val="28"/>
          <w:lang w:val="uk-UA"/>
        </w:rPr>
        <w:t xml:space="preserve">МОН не передбачатимуть іншого.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У випадку екологічного лиха та епідемій </w:t>
      </w:r>
      <w:r>
        <w:rPr>
          <w:rFonts w:ascii="Times New Roman" w:hAnsi="Times New Roman" w:cs="Times New Roman"/>
          <w:sz w:val="28"/>
          <w:szCs w:val="28"/>
          <w:lang w:val="uk-UA"/>
        </w:rPr>
        <w:t xml:space="preserve">органом місцевого самоврядування</w:t>
      </w:r>
      <w:r>
        <w:rPr>
          <w:rFonts w:ascii="Times New Roman" w:hAnsi="Times New Roman" w:cs="Times New Roman"/>
          <w:sz w:val="28"/>
          <w:szCs w:val="28"/>
          <w:lang w:val="uk-UA"/>
        </w:rPr>
        <w:t xml:space="preserve"> може встановлюватися особливий режим роботи закладу освіти, який погоджується з органами Держпродспоживслужби України.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3.20</w:t>
      </w:r>
      <w:r>
        <w:rPr>
          <w:rFonts w:ascii="Times New Roman" w:hAnsi="Times New Roman" w:cs="Times New Roman"/>
          <w:sz w:val="28"/>
          <w:szCs w:val="28"/>
          <w:lang w:val="uk-UA"/>
        </w:rPr>
        <w:t xml:space="preserve">. Тривалість канікул протягом навчального року повинна становити не менше як 30 календарних днів.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3.21</w:t>
      </w:r>
      <w:r>
        <w:rPr>
          <w:rFonts w:ascii="Times New Roman" w:hAnsi="Times New Roman" w:cs="Times New Roman"/>
          <w:sz w:val="28"/>
          <w:szCs w:val="28"/>
          <w:lang w:val="uk-UA"/>
        </w:rPr>
        <w:t xml:space="preserve">. Структура і тривалість навчального року, навчального тижня, на</w:t>
      </w:r>
      <w:r>
        <w:rPr>
          <w:rFonts w:ascii="Times New Roman" w:hAnsi="Times New Roman" w:cs="Times New Roman"/>
          <w:sz w:val="28"/>
          <w:szCs w:val="28"/>
          <w:lang w:val="uk-UA"/>
        </w:rPr>
        <w:t xml:space="preserve">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w:t>
      </w:r>
      <w:r>
        <w:rPr>
          <w:rFonts w:ascii="Times New Roman" w:hAnsi="Times New Roman" w:cs="Times New Roman"/>
          <w:sz w:val="28"/>
          <w:szCs w:val="28"/>
          <w:lang w:val="uk-UA"/>
        </w:rPr>
        <w:t xml:space="preserve">ьним планом, та з урахуванням</w:t>
      </w:r>
      <w:r>
        <w:rPr>
          <w:rFonts w:ascii="Times New Roman" w:hAnsi="Times New Roman" w:cs="Times New Roman"/>
          <w:sz w:val="28"/>
          <w:szCs w:val="28"/>
          <w:lang w:val="uk-UA"/>
        </w:rPr>
        <w:t xml:space="preserve"> вікових особливостей, фізичного, психічного та інтелектуального розвитку дітей, особливостей регіону тощо.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Безперервна навчальна діяльність </w:t>
      </w:r>
      <w:r>
        <w:rPr>
          <w:rFonts w:ascii="Times New Roman" w:hAnsi="Times New Roman" w:cs="Times New Roman"/>
          <w:sz w:val="28"/>
          <w:szCs w:val="28"/>
          <w:lang w:val="uk-UA"/>
        </w:rPr>
        <w:t xml:space="preserve">здобувачів освіти в закладі освіти та його філіях</w:t>
      </w:r>
      <w:r>
        <w:rPr>
          <w:rFonts w:ascii="Times New Roman" w:hAnsi="Times New Roman" w:cs="Times New Roman"/>
          <w:sz w:val="28"/>
          <w:szCs w:val="28"/>
          <w:lang w:val="uk-UA"/>
        </w:rPr>
        <w:t xml:space="preserve"> не може перевищувати 35 хвилин (для 1 року навчання), 40 хвилин (для 2-4 </w:t>
      </w:r>
      <w:r>
        <w:rPr>
          <w:rFonts w:ascii="Times New Roman" w:hAnsi="Times New Roman" w:cs="Times New Roman"/>
          <w:sz w:val="28"/>
          <w:szCs w:val="28"/>
          <w:lang w:val="uk-UA"/>
        </w:rPr>
        <w:t xml:space="preserve">років навчання), 45 хвилин (5-11</w:t>
      </w:r>
      <w:r>
        <w:rPr>
          <w:rFonts w:ascii="Times New Roman" w:hAnsi="Times New Roman" w:cs="Times New Roman"/>
          <w:sz w:val="28"/>
          <w:szCs w:val="28"/>
          <w:lang w:val="uk-UA"/>
        </w:rPr>
        <w:t xml:space="preserve"> років навчання), крім випадків, визначених законодавством.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Заклад освіти може обрати інші, поруч з уроком, фор</w:t>
      </w:r>
      <w:r>
        <w:rPr>
          <w:rFonts w:ascii="Times New Roman" w:hAnsi="Times New Roman" w:cs="Times New Roman"/>
          <w:sz w:val="28"/>
          <w:szCs w:val="28"/>
          <w:lang w:val="uk-UA"/>
        </w:rPr>
        <w:t xml:space="preserve">ми організації освітнього процесу. Організація здвоєних навчальних занять і використання інших форм організації освітнього процесу, що впливають на тривалість навчальних занять, допускається за рішенням педагогічної ради закладу освіти та повинні відповіда</w:t>
      </w:r>
      <w:r>
        <w:rPr>
          <w:rFonts w:ascii="Times New Roman" w:hAnsi="Times New Roman" w:cs="Times New Roman"/>
          <w:sz w:val="28"/>
          <w:szCs w:val="28"/>
          <w:lang w:val="uk-UA"/>
        </w:rPr>
        <w:t xml:space="preserve">ти віковим особливостям дітей.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Проведення здвоєних уроків допускається для: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проведення уроків трудового навчання у 5-9 класах;</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виконання лабораторних і контрольних робіт, написання творів у 8</w:t>
      </w:r>
      <w:r>
        <w:rPr>
          <w:rFonts w:ascii="Times New Roman" w:hAnsi="Times New Roman" w:cs="Times New Roman"/>
          <w:sz w:val="28"/>
          <w:szCs w:val="28"/>
          <w:lang w:val="uk-UA"/>
        </w:rPr>
        <w:t xml:space="preserve">-</w:t>
      </w:r>
      <w:r>
        <w:rPr>
          <w:rFonts w:ascii="Times New Roman" w:hAnsi="Times New Roman" w:cs="Times New Roman"/>
          <w:sz w:val="28"/>
          <w:szCs w:val="28"/>
          <w:lang w:val="uk-UA"/>
        </w:rPr>
        <w:t xml:space="preserve">9 класах;</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вивчення предметів інваріантної та варіативної частини робочого навчального плану, що</w:t>
      </w:r>
      <w:r>
        <w:rPr>
          <w:rFonts w:ascii="Times New Roman" w:hAnsi="Times New Roman" w:cs="Times New Roman"/>
          <w:sz w:val="28"/>
          <w:szCs w:val="28"/>
          <w:lang w:val="uk-UA"/>
        </w:rPr>
        <w:t xml:space="preserve"> належать до обраного профілю.</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3.22. Розклад</w:t>
      </w:r>
      <w:r>
        <w:rPr>
          <w:rFonts w:ascii="Times New Roman" w:hAnsi="Times New Roman" w:cs="Times New Roman"/>
          <w:sz w:val="28"/>
          <w:szCs w:val="28"/>
          <w:lang w:val="uk-UA"/>
        </w:rPr>
        <w:t xml:space="preserve"> уроків укладається відповідно до навчального плану закладу з дотриманням педагогічних та санітарно-гігієнічних вимог і затве</w:t>
      </w:r>
      <w:r>
        <w:rPr>
          <w:rFonts w:ascii="Times New Roman" w:hAnsi="Times New Roman" w:cs="Times New Roman"/>
          <w:sz w:val="28"/>
          <w:szCs w:val="28"/>
          <w:lang w:val="uk-UA"/>
        </w:rPr>
        <w:t xml:space="preserve">рджує керівник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3.23</w:t>
      </w:r>
      <w:r>
        <w:rPr>
          <w:rFonts w:ascii="Times New Roman" w:hAnsi="Times New Roman" w:cs="Times New Roman"/>
          <w:sz w:val="28"/>
          <w:szCs w:val="28"/>
          <w:lang w:val="uk-UA"/>
        </w:rPr>
        <w:t xml:space="preserve">.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3.24</w:t>
      </w:r>
      <w:r>
        <w:rPr>
          <w:rFonts w:ascii="Times New Roman" w:hAnsi="Times New Roman" w:cs="Times New Roman"/>
          <w:sz w:val="28"/>
          <w:szCs w:val="28"/>
          <w:lang w:val="uk-UA"/>
        </w:rPr>
        <w:t xml:space="preserve">. Крім різних форм обов'язкових навчальних занять, у закладі освіти пр</w:t>
      </w:r>
      <w:r>
        <w:rPr>
          <w:rFonts w:ascii="Times New Roman" w:hAnsi="Times New Roman" w:cs="Times New Roman"/>
          <w:sz w:val="28"/>
          <w:szCs w:val="28"/>
          <w:lang w:val="uk-UA"/>
        </w:rPr>
        <w:t xml:space="preserve">оводяться індивідуальні, групові, факультативні та позакласні заняття та заходи, що передбачені окремим розкладом та планом роботи і спрямовані на задоволення освітніх інтересів здобувачів освіти та на розвиток їх творчих здібностей, нахилів і обдарувань.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3.25</w:t>
      </w:r>
      <w:r>
        <w:rPr>
          <w:rFonts w:ascii="Times New Roman" w:hAnsi="Times New Roman" w:cs="Times New Roman"/>
          <w:sz w:val="28"/>
          <w:szCs w:val="28"/>
          <w:lang w:val="uk-UA"/>
        </w:rPr>
        <w:t xml:space="preserve">.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3.26</w:t>
      </w:r>
      <w:r>
        <w:rPr>
          <w:rFonts w:ascii="Times New Roman" w:hAnsi="Times New Roman" w:cs="Times New Roman"/>
          <w:sz w:val="28"/>
          <w:szCs w:val="28"/>
          <w:lang w:val="uk-UA"/>
        </w:rPr>
        <w:t xml:space="preserve">. Залучення здобувачів освіти до видів діяльності, не передбачених навчальним планом та річним планом роботи закладу освіти, дозволяється лише за їх згодою та згодою батьків або осіб, які їх замінюють.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3.27</w:t>
      </w:r>
      <w:r>
        <w:rPr>
          <w:rFonts w:ascii="Times New Roman" w:hAnsi="Times New Roman" w:cs="Times New Roman"/>
          <w:sz w:val="28"/>
          <w:szCs w:val="28"/>
          <w:lang w:val="uk-UA"/>
        </w:rPr>
        <w:t xml:space="preserve">. Система та критерії оцінювання навчальних досягнень здобувачів освіти закладу </w:t>
      </w:r>
      <w:r>
        <w:rPr>
          <w:rFonts w:ascii="Times New Roman" w:hAnsi="Times New Roman" w:cs="Times New Roman"/>
          <w:sz w:val="28"/>
          <w:szCs w:val="28"/>
          <w:lang w:val="uk-UA"/>
        </w:rPr>
        <w:t xml:space="preserve">освіти визначаються центральним органом влади у сфері освіти і науки. Заклад може запровадити власну шкалу оцінювання результатів навчання учнів, визначивши у схваленому педрадою документі  і передбачивши в Освітній програмі закладу правила переведення її </w:t>
      </w:r>
      <w:r>
        <w:rPr>
          <w:rFonts w:ascii="Times New Roman" w:hAnsi="Times New Roman" w:cs="Times New Roman"/>
          <w:sz w:val="28"/>
          <w:szCs w:val="28"/>
          <w:lang w:val="uk-UA"/>
        </w:rPr>
        <w:t xml:space="preserve">значень у систему оцінювання, встановлену центральним органом влади у сфері освіти і науки.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w:t>
      </w:r>
      <w:r>
        <w:rPr>
          <w:rFonts w:ascii="Times New Roman" w:hAnsi="Times New Roman" w:cs="Times New Roman"/>
          <w:sz w:val="28"/>
          <w:szCs w:val="28"/>
          <w:lang w:val="uk-UA"/>
        </w:rPr>
        <w:t xml:space="preserve">зовнішнє незалежне оцінювання. </w:t>
      </w:r>
      <w:r>
        <w:rPr>
          <w:rFonts w:ascii="Times New Roman" w:hAnsi="Times New Roman" w:cs="Times New Roman"/>
          <w:sz w:val="28"/>
          <w:szCs w:val="28"/>
          <w:lang w:val="uk-UA"/>
        </w:rPr>
        <w:t xml:space="preserve">Річне оцінювання та державна підсумкова атестація у закладі здійснюються за</w:t>
      </w:r>
      <w:r>
        <w:rPr>
          <w:rFonts w:ascii="Times New Roman" w:hAnsi="Times New Roman" w:cs="Times New Roman"/>
          <w:sz w:val="28"/>
          <w:szCs w:val="28"/>
          <w:lang w:val="uk-UA"/>
        </w:rPr>
        <w:t xml:space="preserve">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 У разі відсутності результатів річного оцінювання та/або дер</w:t>
      </w:r>
      <w:r>
        <w:rPr>
          <w:rFonts w:ascii="Times New Roman" w:hAnsi="Times New Roman" w:cs="Times New Roman"/>
          <w:sz w:val="28"/>
          <w:szCs w:val="28"/>
          <w:lang w:val="uk-UA"/>
        </w:rPr>
        <w:t xml:space="preserve">жавної підсумкової атестації після завершення навчання за освітньою програмою, заклад освіти забезпечує учневі можливість до початку нового навчального року пройти річне оцінювання та/або державну підсумкову атестацію. У разі повторного непроходження річно</w:t>
      </w:r>
      <w:r>
        <w:rPr>
          <w:rFonts w:ascii="Times New Roman" w:hAnsi="Times New Roman" w:cs="Times New Roman"/>
          <w:sz w:val="28"/>
          <w:szCs w:val="28"/>
          <w:lang w:val="uk-UA"/>
        </w:rPr>
        <w:t xml:space="preserve">го оцінювання та/або державної підсумкової атестації педагогічна рада закладу освіти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3.28</w:t>
      </w:r>
      <w:r>
        <w:rPr>
          <w:rFonts w:ascii="Times New Roman" w:hAnsi="Times New Roman" w:cs="Times New Roman"/>
          <w:sz w:val="28"/>
          <w:szCs w:val="28"/>
          <w:lang w:val="uk-UA"/>
        </w:rPr>
        <w:t xml:space="preserve">. Облік навчальних досягнень здобувачів освіт</w:t>
      </w:r>
      <w:r>
        <w:rPr>
          <w:rFonts w:ascii="Times New Roman" w:hAnsi="Times New Roman" w:cs="Times New Roman"/>
          <w:sz w:val="28"/>
          <w:szCs w:val="28"/>
          <w:lang w:val="uk-UA"/>
        </w:rPr>
        <w:t xml:space="preserve">и протягом навчального року здійснюється у класних журналах, інструкції про ведення яких затверджуються МОН України. Результати навчальної діяльності за рік заносяться до особових справ учнів. За рішенням педагогічної ради заклад може вести класний журнал </w:t>
      </w:r>
      <w:r>
        <w:rPr>
          <w:rFonts w:ascii="Times New Roman" w:hAnsi="Times New Roman" w:cs="Times New Roman"/>
          <w:sz w:val="28"/>
          <w:szCs w:val="28"/>
          <w:lang w:val="uk-UA"/>
        </w:rPr>
        <w:t xml:space="preserve">також</w:t>
      </w:r>
      <w:r>
        <w:rPr>
          <w:rFonts w:ascii="Times New Roman" w:hAnsi="Times New Roman" w:cs="Times New Roman"/>
          <w:sz w:val="28"/>
          <w:szCs w:val="28"/>
          <w:lang w:val="uk-UA"/>
        </w:rPr>
        <w:t xml:space="preserve"> в електронній формі (як документ тимчасового (до 10 років включно) строку зберігання.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3.29</w:t>
      </w:r>
      <w:r>
        <w:rPr>
          <w:rFonts w:ascii="Times New Roman" w:hAnsi="Times New Roman" w:cs="Times New Roman"/>
          <w:sz w:val="28"/>
          <w:szCs w:val="28"/>
          <w:lang w:val="uk-UA"/>
        </w:rPr>
        <w:t xml:space="preserve">. Заклад освіти, забезпечуючи право </w:t>
      </w:r>
      <w:r>
        <w:rPr>
          <w:rFonts w:ascii="Times New Roman" w:hAnsi="Times New Roman" w:cs="Times New Roman"/>
          <w:sz w:val="28"/>
          <w:szCs w:val="28"/>
          <w:lang w:val="uk-UA"/>
        </w:rPr>
        <w:t xml:space="preserve">здобувачів освіти</w:t>
      </w:r>
      <w:r>
        <w:rPr>
          <w:rFonts w:ascii="Times New Roman" w:hAnsi="Times New Roman" w:cs="Times New Roman"/>
          <w:sz w:val="28"/>
          <w:szCs w:val="28"/>
          <w:lang w:val="uk-UA"/>
        </w:rPr>
        <w:t xml:space="preserve"> на визнання результатів навчання, визначених йо</w:t>
      </w:r>
      <w:r>
        <w:rPr>
          <w:rFonts w:ascii="Times New Roman" w:hAnsi="Times New Roman" w:cs="Times New Roman"/>
          <w:sz w:val="28"/>
          <w:szCs w:val="28"/>
          <w:lang w:val="uk-UA"/>
        </w:rPr>
        <w:t xml:space="preserve">го освітньою програмою, що були здобуті шляхом неформальної або інформальної освіти, проводить для таких учнів річне оцінювання та/або державну підсумкову атестацію на засадах, визначених для очної або екстернатної форм здобуття загальної середньої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3.30</w:t>
      </w:r>
      <w:r>
        <w:rPr>
          <w:rFonts w:ascii="Times New Roman" w:hAnsi="Times New Roman" w:cs="Times New Roman"/>
          <w:sz w:val="28"/>
          <w:szCs w:val="28"/>
          <w:lang w:val="uk-UA"/>
        </w:rPr>
        <w:t xml:space="preserve">. Результати семестрового, річного оцінювання та державної підсумкової атестації до відома здобувачів освіти, їх батьків або осіб, які їх замінюють, повідомляє класний керівник.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3.31</w:t>
      </w:r>
      <w:r>
        <w:rPr>
          <w:rFonts w:ascii="Times New Roman" w:hAnsi="Times New Roman" w:cs="Times New Roman"/>
          <w:sz w:val="28"/>
          <w:szCs w:val="28"/>
          <w:lang w:val="uk-UA"/>
        </w:rPr>
        <w:t xml:space="preserve">. Переведення здобувачів освіти до наступного класу здійснюється у поряд</w:t>
      </w:r>
      <w:r>
        <w:rPr>
          <w:rFonts w:ascii="Times New Roman" w:hAnsi="Times New Roman" w:cs="Times New Roman"/>
          <w:sz w:val="28"/>
          <w:szCs w:val="28"/>
          <w:lang w:val="uk-UA"/>
        </w:rPr>
        <w:t xml:space="preserve">ку, встановленому МОН України.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3.32</w:t>
      </w:r>
      <w:r>
        <w:rPr>
          <w:rFonts w:ascii="Times New Roman" w:hAnsi="Times New Roman" w:cs="Times New Roman"/>
          <w:sz w:val="28"/>
          <w:szCs w:val="28"/>
          <w:lang w:val="uk-UA"/>
        </w:rPr>
        <w:t xml:space="preserve">. Контроль за відповідністю освітнього рівня </w:t>
      </w:r>
      <w:r>
        <w:rPr>
          <w:rFonts w:ascii="Times New Roman" w:hAnsi="Times New Roman" w:cs="Times New Roman"/>
          <w:sz w:val="28"/>
          <w:szCs w:val="28"/>
          <w:lang w:val="uk-UA"/>
        </w:rPr>
        <w:t xml:space="preserve">здобувачів освіти</w:t>
      </w:r>
      <w:r>
        <w:rPr>
          <w:rFonts w:ascii="Times New Roman" w:hAnsi="Times New Roman" w:cs="Times New Roman"/>
          <w:sz w:val="28"/>
          <w:szCs w:val="28"/>
          <w:lang w:val="uk-UA"/>
        </w:rPr>
        <w:t xml:space="preserve">, які закінчили початкову школу, гімназію, ліцей, вимогам Державних стандартів початкової, базової та повної середньої о</w:t>
      </w:r>
      <w:r>
        <w:rPr>
          <w:rFonts w:ascii="Times New Roman" w:hAnsi="Times New Roman" w:cs="Times New Roman"/>
          <w:sz w:val="28"/>
          <w:szCs w:val="28"/>
          <w:lang w:val="uk-UA"/>
        </w:rPr>
        <w:t xml:space="preserve">світи здійснюється шляхом їх державної підсумкової атестації. Зміст, форми і порядок проведення державної підсумкової атестації визначаються і затверджуються центральним органом виконавчої влади, що забезпечує формування державної політики у сфері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3.33</w:t>
      </w:r>
      <w:r>
        <w:rPr>
          <w:rFonts w:ascii="Times New Roman" w:hAnsi="Times New Roman" w:cs="Times New Roman"/>
          <w:sz w:val="28"/>
          <w:szCs w:val="28"/>
          <w:lang w:val="uk-UA"/>
        </w:rPr>
        <w:t xml:space="preserve">. За результатами навчання здобувачам освіти або випускникам видається відповідний документ: табель</w:t>
      </w:r>
      <w:r>
        <w:rPr>
          <w:rFonts w:ascii="Times New Roman" w:hAnsi="Times New Roman" w:cs="Times New Roman"/>
          <w:sz w:val="28"/>
          <w:szCs w:val="28"/>
          <w:lang w:val="uk-UA"/>
        </w:rPr>
        <w:t xml:space="preserve"> (за потреби)</w:t>
      </w:r>
      <w:r>
        <w:rPr>
          <w:rFonts w:ascii="Times New Roman" w:hAnsi="Times New Roman" w:cs="Times New Roman"/>
          <w:sz w:val="28"/>
          <w:szCs w:val="28"/>
          <w:lang w:val="uk-UA"/>
        </w:rPr>
        <w:t xml:space="preserve">, свідоцтво навчальних досягнень, свідоцтво про здобуття початкової освіти, свідоцтво про здобуття базової середньої освіти, свідоцтво </w:t>
      </w:r>
      <w:r>
        <w:rPr>
          <w:rFonts w:ascii="Times New Roman" w:hAnsi="Times New Roman" w:cs="Times New Roman"/>
          <w:sz w:val="28"/>
          <w:szCs w:val="28"/>
          <w:lang w:val="uk-UA"/>
        </w:rPr>
        <w:t xml:space="preserve">про здобуття базової середньої о</w:t>
      </w:r>
      <w:r>
        <w:rPr>
          <w:rFonts w:ascii="Times New Roman" w:hAnsi="Times New Roman" w:cs="Times New Roman"/>
          <w:sz w:val="28"/>
          <w:szCs w:val="28"/>
          <w:lang w:val="uk-UA"/>
        </w:rPr>
        <w:t xml:space="preserve">світи з відзнакою, свідоцтво про здобуття повної загальної середньої </w:t>
      </w:r>
      <w:r>
        <w:rPr>
          <w:rFonts w:ascii="Times New Roman" w:hAnsi="Times New Roman" w:cs="Times New Roman"/>
          <w:sz w:val="28"/>
          <w:szCs w:val="28"/>
          <w:lang w:val="uk-UA"/>
        </w:rPr>
        <w:t xml:space="preserve">освіти, свідоцтво про здобуття </w:t>
      </w:r>
      <w:r>
        <w:rPr>
          <w:rFonts w:ascii="Times New Roman" w:hAnsi="Times New Roman" w:cs="Times New Roman"/>
          <w:sz w:val="28"/>
          <w:szCs w:val="28"/>
          <w:lang w:val="uk-UA"/>
        </w:rPr>
        <w:t xml:space="preserve">повної загальної середньої освіти з </w:t>
      </w:r>
      <w:r>
        <w:rPr>
          <w:rFonts w:ascii="Times New Roman" w:hAnsi="Times New Roman" w:cs="Times New Roman"/>
          <w:sz w:val="28"/>
          <w:szCs w:val="28"/>
          <w:lang w:val="uk-UA"/>
        </w:rPr>
        <w:t xml:space="preserve">золотою медаллю «За високі досягнення у навчанні», свідоцтво про здобуття </w:t>
      </w:r>
      <w:r>
        <w:rPr>
          <w:rFonts w:ascii="Times New Roman" w:hAnsi="Times New Roman" w:cs="Times New Roman"/>
          <w:sz w:val="28"/>
          <w:szCs w:val="28"/>
          <w:lang w:val="uk-UA"/>
        </w:rPr>
        <w:t xml:space="preserve">повної загальної середньої освіти з </w:t>
      </w:r>
      <w:r>
        <w:rPr>
          <w:rFonts w:ascii="Times New Roman" w:hAnsi="Times New Roman" w:cs="Times New Roman"/>
          <w:sz w:val="28"/>
          <w:szCs w:val="28"/>
          <w:lang w:val="uk-UA"/>
        </w:rPr>
        <w:t xml:space="preserve">срібною медаллю «За досягнення у навчанні», Похвальний лист за відмінні успіхи у навчанні, Похвальна грамота за особливі досягнення у вивченні окремих предметів. </w:t>
      </w:r>
      <w:r>
        <w:rPr>
          <w:rFonts w:ascii="Times New Roman" w:hAnsi="Times New Roman" w:cs="Times New Roman"/>
          <w:sz w:val="28"/>
          <w:szCs w:val="28"/>
          <w:lang w:val="uk-UA"/>
        </w:rPr>
        <w:t xml:space="preserve">За запитом здобувачам освіти (особи з п</w:t>
      </w:r>
      <w:r>
        <w:rPr>
          <w:rFonts w:ascii="Times New Roman" w:hAnsi="Times New Roman" w:cs="Times New Roman"/>
          <w:sz w:val="28"/>
          <w:szCs w:val="28"/>
          <w:lang w:val="uk-UA"/>
        </w:rPr>
        <w:t xml:space="preserve">орушенням зору) документ про освіту видається з урахуванням забезпечення доступності відтвореної на ньому інформації (з використанням шрифту Брайля). Зразки документів про базову та повну загальну середню освіту затверджуються Кабінетом Міністрів України.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3.34</w:t>
      </w:r>
      <w:r>
        <w:rPr>
          <w:rFonts w:ascii="Times New Roman" w:hAnsi="Times New Roman" w:cs="Times New Roman"/>
          <w:sz w:val="28"/>
          <w:szCs w:val="28"/>
          <w:lang w:val="uk-UA"/>
        </w:rPr>
        <w:t xml:space="preserve">. Здобувачі освіти, які мають високі досягнення у навчанні, досягли особливих успіхів у вивченні одного або декількох предметів, є переможцями міжнародних, Всеукраїнських, обласних, шкільних предметних конкурсів, олімпіад, змага</w:t>
      </w:r>
      <w:r>
        <w:rPr>
          <w:rFonts w:ascii="Times New Roman" w:hAnsi="Times New Roman" w:cs="Times New Roman"/>
          <w:sz w:val="28"/>
          <w:szCs w:val="28"/>
          <w:lang w:val="uk-UA"/>
        </w:rPr>
        <w:t xml:space="preserve">нь, а також за особливі успіхи дослідницькій, пошуковій, науковій діяльності, культурних заходах, спортивних змаганнях тощо можуть застосовуватися різні види морального та/або матеріального заохочення і відзначення. Рішення щодо відзначення, морального та </w:t>
      </w:r>
      <w:r>
        <w:rPr>
          <w:rFonts w:ascii="Times New Roman" w:hAnsi="Times New Roman" w:cs="Times New Roman"/>
          <w:sz w:val="28"/>
          <w:szCs w:val="28"/>
          <w:lang w:val="uk-UA"/>
        </w:rPr>
        <w:t xml:space="preserve">матеріального заохочення учнів може ухвалювати п</w:t>
      </w:r>
      <w:r>
        <w:rPr>
          <w:rFonts w:ascii="Times New Roman" w:hAnsi="Times New Roman" w:cs="Times New Roman"/>
          <w:sz w:val="28"/>
          <w:szCs w:val="28"/>
          <w:lang w:val="uk-UA"/>
        </w:rPr>
        <w:t xml:space="preserve">едагогічна рада закладу освіти відповідно до нормативно</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правових актів та чинного законодавства.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3.35</w:t>
      </w:r>
      <w:r>
        <w:rPr>
          <w:rFonts w:ascii="Times New Roman" w:hAnsi="Times New Roman" w:cs="Times New Roman"/>
          <w:sz w:val="28"/>
          <w:szCs w:val="28"/>
          <w:lang w:val="uk-UA"/>
        </w:rPr>
        <w:t xml:space="preserve">. Виховний проц</w:t>
      </w:r>
      <w:r>
        <w:rPr>
          <w:rFonts w:ascii="Times New Roman" w:hAnsi="Times New Roman" w:cs="Times New Roman"/>
          <w:sz w:val="28"/>
          <w:szCs w:val="28"/>
          <w:lang w:val="uk-UA"/>
        </w:rPr>
        <w:t xml:space="preserve">ес є невід’ємною складовою освітнього процесу у навчальному закладі, здійснюється під час проведення урочної, позаурочної та позашкільної роботи, ґрунтується на загальнолюдських цінностях, культурних цінностях українського народу, цінностях громадянського </w:t>
      </w:r>
      <w:r>
        <w:rPr>
          <w:rFonts w:ascii="Times New Roman" w:hAnsi="Times New Roman" w:cs="Times New Roman"/>
          <w:sz w:val="28"/>
          <w:szCs w:val="28"/>
          <w:lang w:val="uk-UA"/>
        </w:rPr>
        <w:t xml:space="preserve">(вільного демократичного) суспільства, принципах верховенства права, дотримання прав і свобод людини і громадянина, принципах, визначених Законами України «Про освіту», «Про повну загальну середню освіту», іншими нормативно-правовими </w:t>
      </w:r>
      <w:r>
        <w:rPr>
          <w:rFonts w:ascii="Times New Roman" w:hAnsi="Times New Roman" w:cs="Times New Roman"/>
          <w:sz w:val="28"/>
          <w:szCs w:val="28"/>
          <w:lang w:val="uk-UA"/>
        </w:rPr>
        <w:t xml:space="preserve">актами України і цим Статутом.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3.36</w:t>
      </w:r>
      <w:r>
        <w:rPr>
          <w:rFonts w:ascii="Times New Roman" w:hAnsi="Times New Roman" w:cs="Times New Roman"/>
          <w:sz w:val="28"/>
          <w:szCs w:val="28"/>
          <w:lang w:val="uk-UA"/>
        </w:rPr>
        <w:t xml:space="preserve">. Цілі виховного процесу в закладі освіти визначаються на основі принципів, закладених у Конституції та законах України, міжнародних договорах, та інших нормативно-правових актах.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3.37</w:t>
      </w:r>
      <w:r>
        <w:rPr>
          <w:rFonts w:ascii="Times New Roman" w:hAnsi="Times New Roman" w:cs="Times New Roman"/>
          <w:sz w:val="28"/>
          <w:szCs w:val="28"/>
          <w:lang w:val="uk-UA"/>
        </w:rPr>
        <w:t xml:space="preserve">. Політичні партії (об’єднання), релігійні організації не мають права втручатися в освітню діяльність закладу освіти. У закладі освіти забороняється створення осередків політичних партій </w:t>
      </w:r>
      <w:r>
        <w:rPr>
          <w:rFonts w:ascii="Times New Roman" w:hAnsi="Times New Roman" w:cs="Times New Roman"/>
          <w:sz w:val="28"/>
          <w:szCs w:val="28"/>
          <w:lang w:val="uk-UA"/>
        </w:rPr>
        <w:t xml:space="preserve">та функціонування будь-яких політичних об’єднань. Керівництву закладу освіти, педагогічним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w:t>
      </w:r>
      <w:r>
        <w:rPr>
          <w:rFonts w:ascii="Times New Roman" w:hAnsi="Times New Roman" w:cs="Times New Roman"/>
          <w:sz w:val="28"/>
          <w:szCs w:val="28"/>
          <w:lang w:val="uk-UA"/>
        </w:rPr>
        <w:t xml:space="preserve">аних релігійними організаціями чи політичними партіями (об’єднаннями), крім заходів, передбачених освітньою програмою, а також цілями та завданнями передбаченими вимогами цього Статуту. Залучати здобувачів освіти, які не досягли повноліття, до участі у зах</w:t>
      </w:r>
      <w:r>
        <w:rPr>
          <w:rFonts w:ascii="Times New Roman" w:hAnsi="Times New Roman" w:cs="Times New Roman"/>
          <w:sz w:val="28"/>
          <w:szCs w:val="28"/>
          <w:lang w:val="uk-UA"/>
        </w:rPr>
        <w:t xml:space="preserve">одах, організованих громадськими об’єднаннями, дозволяється виключно за згодою їхніх батьків. Здобувачі освіти не можуть бути обмежені у праві на здобуття освіти за їх належність або неналежність до релігійних організацій чи політичних партій (об’єднань).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3.38</w:t>
      </w:r>
      <w:r>
        <w:rPr>
          <w:rFonts w:ascii="Times New Roman" w:hAnsi="Times New Roman" w:cs="Times New Roman"/>
          <w:sz w:val="28"/>
          <w:szCs w:val="28"/>
          <w:lang w:val="uk-UA"/>
        </w:rPr>
        <w:t xml:space="preserve">. Дисципліна в закладі освіти дотримується на основі взаємоповаги усіх учасників освітнього процесу, дотримання правил внутрішнього розпорядку та цього Статуту. Застосування методів фізичного та психічного насильства до здобувачів освіти забороняється.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3.39</w:t>
      </w:r>
      <w:r>
        <w:rPr>
          <w:rFonts w:ascii="Times New Roman" w:hAnsi="Times New Roman" w:cs="Times New Roman"/>
          <w:sz w:val="28"/>
          <w:szCs w:val="28"/>
          <w:lang w:val="uk-UA"/>
        </w:rPr>
        <w:t xml:space="preserve">. За умови письмової згоди батьківського комітету для безпеки учасників освітнього процесу та оперативного реагування на конфліктні ситуації дозволяється використовувати електронні системи охорони і відео нагляду. </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IV. Учасники освітнього процесу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4.1. Учасниками освітнього процесу в закладі освіти</w:t>
      </w:r>
      <w:r>
        <w:rPr>
          <w:rFonts w:ascii="Times New Roman" w:hAnsi="Times New Roman" w:cs="Times New Roman"/>
          <w:sz w:val="28"/>
          <w:szCs w:val="28"/>
          <w:lang w:val="uk-UA"/>
        </w:rPr>
        <w:t xml:space="preserve"> та його філіях</w:t>
      </w:r>
      <w:r>
        <w:rPr>
          <w:rFonts w:ascii="Times New Roman" w:hAnsi="Times New Roman" w:cs="Times New Roman"/>
          <w:sz w:val="28"/>
          <w:szCs w:val="28"/>
          <w:lang w:val="uk-UA"/>
        </w:rPr>
        <w:t xml:space="preserve"> є:</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здобувачі освіти</w:t>
      </w:r>
      <w:r>
        <w:rPr>
          <w:rFonts w:ascii="Times New Roman" w:hAnsi="Times New Roman" w:cs="Times New Roman"/>
          <w:sz w:val="28"/>
          <w:szCs w:val="28"/>
          <w:lang w:val="uk-UA"/>
        </w:rPr>
        <w:t xml:space="preserve"> (учні)</w:t>
      </w:r>
      <w:r>
        <w:rPr>
          <w:rFonts w:ascii="Times New Roman" w:hAnsi="Times New Roman" w:cs="Times New Roman"/>
          <w:sz w:val="28"/>
          <w:szCs w:val="28"/>
          <w:lang w:val="uk-UA"/>
        </w:rPr>
        <w:t xml:space="preserve">;</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педагогічні працівники;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асистент учня (за потреби);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інші працівники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батьки здобувачів освіти або особи, які їх замінюють;</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З</w:t>
      </w:r>
      <w:r>
        <w:rPr>
          <w:rFonts w:ascii="Times New Roman" w:hAnsi="Times New Roman" w:cs="Times New Roman"/>
          <w:sz w:val="28"/>
          <w:szCs w:val="28"/>
          <w:lang w:val="uk-UA"/>
        </w:rPr>
        <w:t xml:space="preserve">а рішенням керівника закладу освіти до участі в освітньому проц</w:t>
      </w:r>
      <w:r>
        <w:rPr>
          <w:rFonts w:ascii="Times New Roman" w:hAnsi="Times New Roman" w:cs="Times New Roman"/>
          <w:sz w:val="28"/>
          <w:szCs w:val="28"/>
          <w:lang w:val="uk-UA"/>
        </w:rPr>
        <w:t xml:space="preserve">есі (проведення навчальних занять, лекцій, тренінгів, семінарів, майстер-класів, конкурсів, оцінювання результатів навчання тощо) можуть залучатись інші особи. Відповідальність за зміст заходів, проведених залученими особами, несе керівник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4.2. Статус, права та обов’язки учасників освітнього процесу визначаються Законами України «Про освіту», «Про повну загальну середню освіту», іншими законодавчими актами, цим Статутом, правилами внутрішнього розпорядку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4.3. Здобувачі освіти</w:t>
      </w:r>
      <w:r>
        <w:rPr>
          <w:rFonts w:ascii="Times New Roman" w:hAnsi="Times New Roman" w:cs="Times New Roman"/>
          <w:sz w:val="28"/>
          <w:szCs w:val="28"/>
          <w:lang w:val="uk-UA"/>
        </w:rPr>
        <w:t xml:space="preserve"> (учні)</w:t>
      </w:r>
      <w:r>
        <w:rPr>
          <w:rFonts w:ascii="Times New Roman" w:hAnsi="Times New Roman" w:cs="Times New Roman"/>
          <w:sz w:val="28"/>
          <w:szCs w:val="28"/>
          <w:lang w:val="uk-UA"/>
        </w:rPr>
        <w:t xml:space="preserve">:</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4.3.</w:t>
      </w:r>
      <w:r>
        <w:rPr>
          <w:rFonts w:ascii="Times New Roman" w:hAnsi="Times New Roman" w:cs="Times New Roman"/>
          <w:sz w:val="28"/>
          <w:szCs w:val="28"/>
          <w:lang w:val="uk-UA"/>
        </w:rPr>
        <w:t xml:space="preserve">1.</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Здобувачі </w:t>
      </w:r>
      <w:r>
        <w:rPr>
          <w:rFonts w:ascii="Times New Roman" w:hAnsi="Times New Roman" w:cs="Times New Roman"/>
          <w:sz w:val="28"/>
          <w:szCs w:val="28"/>
          <w:lang w:val="uk-UA"/>
        </w:rPr>
        <w:t xml:space="preserve">мають право на: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повагу людської гідності;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здобувача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безпечні та нешкідливі умови навчання;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якісні освітні послуги;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індивідуальну освітню траєкторію, що реалізується, зокрема, через вільний вибір видів, форм і темпу здобуття освіти, навчальних дисциплін та рівня їх складності, методів і засобів навчання;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справедливе та об’єктивне оцінювання результатів навчання;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свободу творчої, спортивної, оздоровчої, культурної, просвітницької, дослідницької та винахідницької діяльності;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участь в різних видах навчальної, науково-практичної діяльності, конференціях, олімпіадах, виставках, конкурсах тощо;</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користування бібліотекою, навчальною,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доступ до інформаційних ресурсів і комунікацій, що використовуються в освітньому процесі та дослідницькій діяльності;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відзначення успіхів у освітній діяльності;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особисту або через своїх законних представників участь у громадському самоврядуванні та управлінні закладом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інші необхідні умови для здобуття освіти, у тому числі для осіб з особливими освітніми потребами та із соціально незахищених верств населення;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отримання додат</w:t>
      </w:r>
      <w:r>
        <w:rPr>
          <w:rFonts w:ascii="Times New Roman" w:hAnsi="Times New Roman" w:cs="Times New Roman"/>
          <w:sz w:val="28"/>
          <w:szCs w:val="28"/>
          <w:lang w:val="uk-UA"/>
        </w:rPr>
        <w:t xml:space="preserve">кових </w:t>
      </w:r>
      <w:r>
        <w:rPr>
          <w:rFonts w:ascii="Times New Roman" w:hAnsi="Times New Roman" w:cs="Times New Roman"/>
          <w:sz w:val="28"/>
          <w:szCs w:val="28"/>
          <w:lang w:val="uk-UA"/>
        </w:rPr>
        <w:t xml:space="preserve">навчальних послуг;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перегляд результатів оцінювання навчальних досягнень з усіх предметів інваріантної та варіативної частини.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 xml:space="preserve">4.3</w:t>
      </w:r>
      <w:r>
        <w:rPr>
          <w:rFonts w:ascii="Times New Roman" w:hAnsi="Times New Roman" w:cs="Times New Roman"/>
          <w:color w:val="000000" w:themeColor="text1"/>
          <w:sz w:val="28"/>
          <w:szCs w:val="28"/>
          <w:lang w:val="uk-UA"/>
        </w:rPr>
        <w:t xml:space="preserve">.</w:t>
      </w:r>
      <w:r>
        <w:rPr>
          <w:rFonts w:ascii="Times New Roman" w:hAnsi="Times New Roman" w:cs="Times New Roman"/>
          <w:color w:val="000000" w:themeColor="text1"/>
          <w:sz w:val="28"/>
          <w:szCs w:val="28"/>
          <w:lang w:val="uk-UA"/>
        </w:rPr>
        <w:t xml:space="preserve">2.</w:t>
      </w:r>
      <w:r>
        <w:rPr>
          <w:rFonts w:ascii="Times New Roman" w:hAnsi="Times New Roman" w:cs="Times New Roman"/>
          <w:color w:val="000000" w:themeColor="text1"/>
          <w:sz w:val="28"/>
          <w:szCs w:val="28"/>
          <w:lang w:val="uk-UA"/>
        </w:rPr>
        <w:t xml:space="preserve"> Здобувачам освіти можуть надаватися матеріальна допомога, академічні стипендії, </w:t>
      </w:r>
      <w:r>
        <w:rPr>
          <w:rFonts w:ascii="Times New Roman" w:hAnsi="Times New Roman" w:cs="Times New Roman"/>
          <w:sz w:val="28"/>
          <w:szCs w:val="28"/>
          <w:lang w:val="uk-UA"/>
        </w:rPr>
        <w:t xml:space="preserve">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w:t>
      </w:r>
      <w:r>
        <w:rPr>
          <w:rFonts w:ascii="Times New Roman" w:hAnsi="Times New Roman" w:cs="Times New Roman"/>
          <w:sz w:val="28"/>
          <w:szCs w:val="28"/>
          <w:lang w:val="uk-UA"/>
        </w:rPr>
        <w:t xml:space="preserve">3.3. Здобувачі освіти </w:t>
      </w:r>
      <w:r>
        <w:rPr>
          <w:rFonts w:ascii="Times New Roman" w:hAnsi="Times New Roman" w:cs="Times New Roman"/>
          <w:sz w:val="28"/>
          <w:szCs w:val="28"/>
          <w:lang w:val="uk-UA"/>
        </w:rPr>
        <w:t xml:space="preserve">мають право на отримання додаткових індивідуальних та/або групових консультацій та/або занять з навчальних предмет</w:t>
      </w:r>
      <w:r>
        <w:rPr>
          <w:rFonts w:ascii="Times New Roman" w:hAnsi="Times New Roman" w:cs="Times New Roman"/>
          <w:sz w:val="28"/>
          <w:szCs w:val="28"/>
          <w:lang w:val="uk-UA"/>
        </w:rPr>
        <w:t xml:space="preserve">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 навчання.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w:t>
      </w:r>
      <w:r>
        <w:rPr>
          <w:rFonts w:ascii="Times New Roman" w:hAnsi="Times New Roman" w:cs="Times New Roman"/>
          <w:sz w:val="28"/>
          <w:szCs w:val="28"/>
          <w:lang w:val="uk-UA"/>
        </w:rPr>
        <w:t xml:space="preserve">3.4.</w:t>
      </w:r>
      <w:r>
        <w:rPr>
          <w:rFonts w:ascii="Times New Roman" w:hAnsi="Times New Roman" w:cs="Times New Roman"/>
          <w:sz w:val="28"/>
          <w:szCs w:val="28"/>
          <w:lang w:val="uk-UA"/>
        </w:rPr>
        <w:t xml:space="preserve"> Здобувачі освіти зобов'язані: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поважати гідність, права, свободи та законні інтереси всіх учасників освітнього процесу, дотримуватися етичних норм;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дотримуватися вимог Статуту, правил внутрішнього розпорядку закладу освіти, а також умов договору про надання освітніх послуг (за його наявності);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відповідально та дбайливо ставитися до власного здоров’я, здоров’я оточуючих, довкілля;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бережливо ставитись до державного, громадського та особистого майна;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повідомляти керівництво закладу освіти про факти булінгу (цькування) стосовно здобувачів освіти, педагогічних та інших осіб, які залучаються до освітнього процесу, свідком яких вони були особисто або про які отримали достовірну інформацію від інших осіб;</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користуватись мобільними телефонами, планшетами, ноутбуками під ча</w:t>
      </w:r>
      <w:r>
        <w:rPr>
          <w:rFonts w:ascii="Times New Roman" w:hAnsi="Times New Roman" w:cs="Times New Roman"/>
          <w:sz w:val="28"/>
          <w:szCs w:val="28"/>
          <w:lang w:val="uk-UA"/>
        </w:rPr>
        <w:t xml:space="preserve">с проведення навчальних занять </w:t>
      </w:r>
      <w:r>
        <w:rPr>
          <w:rFonts w:ascii="Times New Roman" w:hAnsi="Times New Roman" w:cs="Times New Roman"/>
          <w:sz w:val="28"/>
          <w:szCs w:val="28"/>
          <w:lang w:val="uk-UA"/>
        </w:rPr>
        <w:t xml:space="preserve">лише за дозволом класних керівників/ вчителів-предметників.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w:t>
      </w:r>
      <w:r>
        <w:rPr>
          <w:rFonts w:ascii="Times New Roman" w:hAnsi="Times New Roman" w:cs="Times New Roman"/>
          <w:sz w:val="28"/>
          <w:szCs w:val="28"/>
          <w:lang w:val="uk-UA"/>
        </w:rPr>
        <w:t xml:space="preserve">3.5.</w:t>
      </w:r>
      <w:r>
        <w:rPr>
          <w:rFonts w:ascii="Times New Roman" w:hAnsi="Times New Roman" w:cs="Times New Roman"/>
          <w:sz w:val="28"/>
          <w:szCs w:val="28"/>
          <w:lang w:val="uk-UA"/>
        </w:rPr>
        <w:t xml:space="preserve"> Здобувачі освіти мають також інші права та обов’язки, передбачені законодавством та установчими</w:t>
      </w:r>
      <w:r>
        <w:rPr>
          <w:rFonts w:ascii="Times New Roman" w:hAnsi="Times New Roman" w:cs="Times New Roman"/>
          <w:sz w:val="28"/>
          <w:szCs w:val="28"/>
          <w:lang w:val="uk-UA"/>
        </w:rPr>
        <w:t xml:space="preserve"> документами закладу освіти. 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w:t>
      </w:r>
      <w:r>
        <w:rPr>
          <w:rFonts w:ascii="Times New Roman" w:hAnsi="Times New Roman" w:cs="Times New Roman"/>
          <w:sz w:val="28"/>
          <w:szCs w:val="28"/>
          <w:lang w:val="uk-UA"/>
        </w:rPr>
        <w:t xml:space="preserve">3.6.</w:t>
      </w:r>
      <w:r>
        <w:rPr>
          <w:rFonts w:ascii="Times New Roman" w:hAnsi="Times New Roman" w:cs="Times New Roman"/>
          <w:sz w:val="28"/>
          <w:szCs w:val="28"/>
          <w:lang w:val="uk-UA"/>
        </w:rPr>
        <w:t xml:space="preserve"> Здобувачі освіти залучаються за їх згодою та згодою батьків або осіб, які їх заміню</w:t>
      </w:r>
      <w:r>
        <w:rPr>
          <w:rFonts w:ascii="Times New Roman" w:hAnsi="Times New Roman" w:cs="Times New Roman"/>
          <w:sz w:val="28"/>
          <w:szCs w:val="28"/>
          <w:lang w:val="uk-UA"/>
        </w:rPr>
        <w:t xml:space="preserve">ють, до самообслуговування, різних видів суспільно корисної праці відповідно до цього Статуту і правил внутрішнього розпорядку з урахуванням віку, статі, фізичних можливостей та відповідно до Санітарного регламенту для закладів загальної середньої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w:t>
      </w:r>
      <w:r>
        <w:rPr>
          <w:rFonts w:ascii="Times New Roman" w:hAnsi="Times New Roman" w:cs="Times New Roman"/>
          <w:sz w:val="28"/>
          <w:szCs w:val="28"/>
          <w:lang w:val="uk-UA"/>
        </w:rPr>
        <w:t xml:space="preserve">3</w:t>
      </w:r>
      <w:r>
        <w:rPr>
          <w:rFonts w:ascii="Times New Roman" w:hAnsi="Times New Roman" w:cs="Times New Roman"/>
          <w:sz w:val="28"/>
          <w:szCs w:val="28"/>
          <w:lang w:val="uk-UA"/>
        </w:rPr>
        <w:t xml:space="preserve">.</w:t>
      </w:r>
      <w:r>
        <w:rPr>
          <w:rFonts w:ascii="Times New Roman" w:hAnsi="Times New Roman" w:cs="Times New Roman"/>
          <w:sz w:val="28"/>
          <w:szCs w:val="28"/>
          <w:lang w:val="uk-UA"/>
        </w:rPr>
        <w:t xml:space="preserve">7.</w:t>
      </w:r>
      <w:r>
        <w:rPr>
          <w:rFonts w:ascii="Times New Roman" w:hAnsi="Times New Roman" w:cs="Times New Roman"/>
          <w:sz w:val="28"/>
          <w:szCs w:val="28"/>
          <w:lang w:val="uk-UA"/>
        </w:rPr>
        <w:t xml:space="preserve"> За невиконання здобувачами освіти своїх обов’язків, порушення цього Статуту, правил в</w:t>
      </w:r>
      <w:r>
        <w:rPr>
          <w:rFonts w:ascii="Times New Roman" w:hAnsi="Times New Roman" w:cs="Times New Roman"/>
          <w:sz w:val="28"/>
          <w:szCs w:val="28"/>
          <w:lang w:val="uk-UA"/>
        </w:rPr>
        <w:t xml:space="preserve">нутрішнього розпорядку, порушення академічної доброчесності на них можуть накладатися стягнення відповідно до законодавства, Порядку виявлення й встановлення фактів академічної недоброчесності, внутрішньошкільних документів, схвалених педагогічною радою.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 Педагогічні працівники</w:t>
      </w:r>
      <w:r>
        <w:rPr>
          <w:rFonts w:ascii="Times New Roman" w:hAnsi="Times New Roman" w:cs="Times New Roman"/>
          <w:sz w:val="28"/>
          <w:szCs w:val="28"/>
          <w:lang w:val="uk-UA"/>
        </w:rPr>
        <w:t xml:space="preserve">:</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4.4.1. На посади педагог</w:t>
      </w:r>
      <w:r>
        <w:rPr>
          <w:rFonts w:ascii="Times New Roman" w:hAnsi="Times New Roman" w:cs="Times New Roman"/>
          <w:sz w:val="28"/>
          <w:szCs w:val="28"/>
          <w:lang w:val="uk-UA"/>
        </w:rPr>
        <w:t xml:space="preserve">ічних працівників приймаються особи, які мають педагогічну освіту, вищу освіту та/або відповідну професійну кваліфікацію, вільно володіють державною мовою (для громадян України/або володіють державною мовою в обсязі, достатньому для спілкування (для інозем</w:t>
      </w:r>
      <w:r>
        <w:rPr>
          <w:rFonts w:ascii="Times New Roman" w:hAnsi="Times New Roman" w:cs="Times New Roman"/>
          <w:sz w:val="28"/>
          <w:szCs w:val="28"/>
          <w:lang w:val="uk-UA"/>
        </w:rPr>
        <w:t xml:space="preserve">ців та осіб без громадянства), </w:t>
      </w:r>
      <w:r>
        <w:rPr>
          <w:rFonts w:ascii="Times New Roman" w:hAnsi="Times New Roman" w:cs="Times New Roman"/>
          <w:sz w:val="28"/>
          <w:szCs w:val="28"/>
          <w:lang w:val="uk-UA"/>
        </w:rPr>
        <w:t xml:space="preserve">мають  моральні якості та фізичний</w:t>
      </w:r>
      <w:r>
        <w:rPr>
          <w:rFonts w:ascii="Times New Roman" w:hAnsi="Times New Roman" w:cs="Times New Roman"/>
          <w:sz w:val="28"/>
          <w:szCs w:val="28"/>
          <w:lang w:val="uk-UA"/>
        </w:rPr>
        <w:t xml:space="preserve"> і психічний стан здоров’я, який дозволяє </w:t>
      </w:r>
      <w:r>
        <w:rPr>
          <w:rFonts w:ascii="Times New Roman" w:hAnsi="Times New Roman" w:cs="Times New Roman"/>
          <w:sz w:val="28"/>
          <w:szCs w:val="28"/>
          <w:lang w:val="uk-UA"/>
        </w:rPr>
        <w:t xml:space="preserve">виконувати професійні обов’язки.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4.4.2. Педагогічні працівники, які досягли пенсійного віку приймаються на роботу згідно </w:t>
      </w:r>
      <w:r>
        <w:rPr>
          <w:rFonts w:ascii="Times New Roman" w:hAnsi="Times New Roman" w:cs="Times New Roman"/>
          <w:sz w:val="28"/>
          <w:szCs w:val="28"/>
          <w:lang w:val="uk-UA"/>
        </w:rPr>
        <w:t xml:space="preserve">з діючим законодавством України на контрактній основі.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4.4.3. Особи, які не мають досвіду педагогічної діяльності та приймаються на посаду педагогічного працівника наказом керівника закладу освіти проходять педагогічну інтернатуру.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4.4.4. Не можуть працювати в закладі освіти або залучатися до участі в освітньому процесі особи, які вчинили злочин проти статевої свободи, чи статевої недоторканості дитини або у присутності дитини чи з використанням дитини.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4.4.5. Призначення на посаду, звільнення з посади педагогічних та інших працівників закладу освіти, інші трудові відносини регулюються  згідно з діючим законодавством України.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4.4.6. Обсяг педагогічного навантаження вчителів визначається відповідно до законодавст</w:t>
      </w:r>
      <w:r>
        <w:rPr>
          <w:rFonts w:ascii="Times New Roman" w:hAnsi="Times New Roman" w:cs="Times New Roman"/>
          <w:sz w:val="28"/>
          <w:szCs w:val="28"/>
          <w:lang w:val="uk-UA"/>
        </w:rPr>
        <w:t xml:space="preserve">ва керівником закладу освіти. Обсяг педагогічного навантаження може бути меншим ніж тарифна ставка або посадовий оклад лише за письмовою згодою педагогічного працівника при зміні істотних умов праці (зменшенням кількості годин відповідно до навчального пла</w:t>
      </w:r>
      <w:r>
        <w:rPr>
          <w:rFonts w:ascii="Times New Roman" w:hAnsi="Times New Roman" w:cs="Times New Roman"/>
          <w:sz w:val="28"/>
          <w:szCs w:val="28"/>
          <w:lang w:val="uk-UA"/>
        </w:rPr>
        <w:t xml:space="preserve">ну) за погодженням з профспілковим комітетом закладу освіти. 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робочим навчальним планом, або з</w:t>
      </w:r>
      <w:r>
        <w:rPr>
          <w:rFonts w:ascii="Times New Roman" w:hAnsi="Times New Roman" w:cs="Times New Roman"/>
          <w:sz w:val="28"/>
          <w:szCs w:val="28"/>
          <w:lang w:val="uk-UA"/>
        </w:rPr>
        <w:t xml:space="preserve">а письмовою згодою педагогічного працівника з додержанням законодавства України про працю. Педагогічні працівники, які відмовились продовжувати роботу у зв’язку із зміною істотних умов праці, підлягають звільненню з дотриманням норм чинного законодавства.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4.4.7. Конкретний перелік посадових обов’язків визначається посадовою інструкцією, яку затверджує керівник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4.4.8. Керівник закладу освіти призначає класних керівників, завідуючих навчальними кабінетами, майстернями, права та обов’язки яких визначаються нормативно-правовими актами </w:t>
      </w:r>
      <w:r>
        <w:rPr>
          <w:rFonts w:ascii="Times New Roman" w:hAnsi="Times New Roman" w:cs="Times New Roman"/>
          <w:sz w:val="28"/>
          <w:szCs w:val="28"/>
          <w:lang w:val="uk-UA"/>
        </w:rPr>
        <w:t xml:space="preserve">Міністерства освіти і науки</w:t>
      </w:r>
      <w:r>
        <w:rPr>
          <w:rFonts w:ascii="Times New Roman" w:hAnsi="Times New Roman" w:cs="Times New Roman"/>
          <w:sz w:val="28"/>
          <w:szCs w:val="28"/>
          <w:lang w:val="uk-UA"/>
        </w:rPr>
        <w:t xml:space="preserve"> України, правилами внутрішнього розпорядку та цим Статутом.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4.4.9. Не допускається відволікання педагогічних працівників від виконання професійних обов’язків, крім випадків, передбачених законодавств</w:t>
      </w:r>
      <w:r>
        <w:rPr>
          <w:rFonts w:ascii="Times New Roman" w:hAnsi="Times New Roman" w:cs="Times New Roman"/>
          <w:sz w:val="28"/>
          <w:szCs w:val="28"/>
          <w:lang w:val="uk-UA"/>
        </w:rPr>
        <w:t xml:space="preserve">ом. Залучення педагогічних працівників до участі у видах робіт, не передбачених освітньою (освітніми) програмою (програмами) закладу, навчальними програмами та іншими документами, що регламентують діяльність закладу освіти, здійснюється лише за їх згодою.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4.4.10. Педагогічні працівники закладу освіти</w:t>
      </w:r>
      <w:r>
        <w:rPr>
          <w:rFonts w:ascii="Times New Roman" w:hAnsi="Times New Roman" w:cs="Times New Roman"/>
          <w:sz w:val="28"/>
          <w:szCs w:val="28"/>
          <w:lang w:val="uk-UA"/>
        </w:rPr>
        <w:t xml:space="preserve"> та його філій</w:t>
      </w:r>
      <w:r>
        <w:rPr>
          <w:rFonts w:ascii="Times New Roman" w:hAnsi="Times New Roman" w:cs="Times New Roman"/>
          <w:sz w:val="28"/>
          <w:szCs w:val="28"/>
          <w:lang w:val="uk-UA"/>
        </w:rPr>
        <w:t xml:space="preserve"> підля</w:t>
      </w:r>
      <w:r>
        <w:rPr>
          <w:rFonts w:ascii="Times New Roman" w:hAnsi="Times New Roman" w:cs="Times New Roman"/>
          <w:sz w:val="28"/>
          <w:szCs w:val="28"/>
          <w:lang w:val="uk-UA"/>
        </w:rPr>
        <w:t xml:space="preserve">гають атестації (сертифікації) </w:t>
      </w:r>
      <w:r>
        <w:rPr>
          <w:rFonts w:ascii="Times New Roman" w:hAnsi="Times New Roman" w:cs="Times New Roman"/>
          <w:sz w:val="28"/>
          <w:szCs w:val="28"/>
          <w:lang w:val="uk-UA"/>
        </w:rPr>
        <w:t xml:space="preserve">відповідно до порядку згідно з діючим законодавством України.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4.4.11. Права та обов'язки педагогічних працівників визначаються Конституцією України, Кодексом законів про працю України, Законом України «Про освіту», Законом України «Про повну загальну середню освіту» та іншими нормативно-правовими актами.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4.4.12. Педагогічні працівники мають право на: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безпечні і нешкідливі умови праці;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академічну свободу, включаючи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 - педагогічну ініціативу;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розроблення та впровадження авторських навчальних програм, проектів, освітніх технологій, використання інноваційних прийомів та засобів навчання;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підвищення кваліфікації, перепідготовку;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доступ до інформаційних ресурсів і комунікацій, що використовуються в освітньому процесі та науковій діяльності;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сертифікацію на добровільних засадах;</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справедливе та об’єктивне оцінювання своєї професійної діяльності;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відзначення успіхів у своїй професійній діяльності;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індивідуальну освітню (наукову, творчу, мистецьку та іншу) діяльність за межами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участь у громадському самоврядуванні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участь у роботі колегіальних ор</w:t>
      </w:r>
      <w:r>
        <w:rPr>
          <w:rFonts w:ascii="Times New Roman" w:hAnsi="Times New Roman" w:cs="Times New Roman"/>
          <w:sz w:val="28"/>
          <w:szCs w:val="28"/>
          <w:lang w:val="uk-UA"/>
        </w:rPr>
        <w:t xml:space="preserve">ганів управління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об’єднання у професійні спілки та членство в інших об’єднаннях громадян, діяльність яких не заборонена законодавством;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захист професійної честі та гідності;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захист під час освітнього процесу від будь-яких форм насильства та експлуатації, у тому числі </w:t>
      </w:r>
      <w:r>
        <w:rPr>
          <w:rFonts w:ascii="Times New Roman" w:hAnsi="Times New Roman" w:cs="Times New Roman"/>
          <w:sz w:val="28"/>
          <w:szCs w:val="28"/>
          <w:lang w:val="uk-UA"/>
        </w:rPr>
        <w:t xml:space="preserve">б</w:t>
      </w:r>
      <w:r>
        <w:rPr>
          <w:rFonts w:ascii="Times New Roman" w:hAnsi="Times New Roman" w:cs="Times New Roman"/>
          <w:sz w:val="28"/>
          <w:szCs w:val="28"/>
          <w:lang w:val="uk-UA"/>
        </w:rPr>
        <w:t xml:space="preserve">улінгу, моббінгу</w:t>
      </w:r>
      <w:r>
        <w:rPr>
          <w:rFonts w:ascii="Times New Roman" w:hAnsi="Times New Roman" w:cs="Times New Roman"/>
          <w:sz w:val="28"/>
          <w:szCs w:val="28"/>
          <w:lang w:val="uk-UA"/>
        </w:rPr>
        <w:t xml:space="preserve"> (цькування), дискримінації за будь-якою ознакою, від пропаганди та агітації, що завдають шкоди здоров’ю.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4.4.13.</w:t>
      </w:r>
      <w:r>
        <w:rPr>
          <w:rFonts w:ascii="Times New Roman" w:hAnsi="Times New Roman" w:cs="Times New Roman"/>
          <w:sz w:val="28"/>
          <w:szCs w:val="28"/>
          <w:lang w:val="uk-UA"/>
        </w:rPr>
        <w:t xml:space="preserve"> Педагогічні працівники </w:t>
      </w:r>
      <w:r>
        <w:rPr>
          <w:rFonts w:ascii="Times New Roman" w:hAnsi="Times New Roman" w:cs="Times New Roman"/>
          <w:sz w:val="28"/>
          <w:szCs w:val="28"/>
          <w:lang w:val="uk-UA"/>
        </w:rPr>
        <w:t xml:space="preserve">зобов'язані: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поважати гідність, права, свободи і законні інтереси всіх учасників освітнього процесу;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додержуватися установчих документів та правил внутрішнього розпорядку закладу освіти, виконувати свої посадові обов’язки;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виконувати обов’язки, визначені освітнім законодавством, установчими документами закладу освіти, трудовим договором чи контрактом та/або їхніми посадовими інструкціями;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виконувати освітню програму для досягнення здобувачами освіти передбачених нею результатів навчання;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сприяти розвитку здібностей здобувачів освіти, формуванню навичок здорового способу життя, дбати про їхнє фізичне і психічне здоров’я;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виховувати у здобу</w:t>
      </w:r>
      <w:r>
        <w:rPr>
          <w:rFonts w:ascii="Times New Roman" w:hAnsi="Times New Roman" w:cs="Times New Roman"/>
          <w:sz w:val="28"/>
          <w:szCs w:val="28"/>
          <w:lang w:val="uk-UA"/>
        </w:rPr>
        <w:t xml:space="preserve">вачів освіти повагу до державної мови, мов національних меншин України та державних символів України, національних, історичних, культурних цінностей України, дбайливе ставлення до історико-культурного надбання України і навколишнього природного середовища;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формувати у здобувачів освіти прагнення до взаєморозуміння, миру, злагоди між усіма народами, етнічними, національними, релігійними групами;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статтею 6 Закону України «Про освіту»;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використовувати державну мову в освітньому процесі відповідно до вимог чинного законодавства;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дотримуватися педагогічної етики;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дотримуватися академічної доброчесності та забезпечувати її дотримання здобувачами освіти в освітньому процесі та дослідницько-пошуковій роботі;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захищати здобувачів освіти під час освітнього процесу від будь</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яких форм фізичного та психічного насильства, приниження честі </w:t>
      </w:r>
      <w:r>
        <w:rPr>
          <w:rFonts w:ascii="Times New Roman" w:hAnsi="Times New Roman" w:cs="Times New Roman"/>
          <w:sz w:val="28"/>
          <w:szCs w:val="28"/>
          <w:lang w:val="uk-UA"/>
        </w:rPr>
        <w:t xml:space="preserve">та гідності, дискримінації за будь-якою ознакою, пропаганди та агітації, що завдають шкоди здоров’ю здобувачам освіти, запобігати вживанню ними та іншими особами на території закладів освіти алкогольних напоїв, наркотичних засобів, іншим шкідливим звичкам;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повідомляти керівництво закладу освіти про факти б</w:t>
      </w:r>
      <w:r>
        <w:rPr>
          <w:rFonts w:ascii="Times New Roman" w:hAnsi="Times New Roman" w:cs="Times New Roman"/>
          <w:sz w:val="28"/>
          <w:szCs w:val="28"/>
          <w:lang w:val="uk-UA"/>
        </w:rPr>
        <w:t xml:space="preserve">улінгу (цькування) стосовно здобувачів освіти, педагогів та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володіти навичками з надання домедичної допомоги дітям;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постійно підвищувати свій професійний і загальнокультурний рівні та педагогічну майстерність;</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брати участь у роботі педагогічної ради, засіданнях предметних (циклових) комісій, методичних об’єднань, нарадах, зборах;</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виконувати накази і розпорядження директора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вести відповідну документацію;</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сприяти зростанню іміджу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утримувати навчальні приміщення відповідно до вимог правил пожежної безпеки, охорони праці та безпеки життєдіяльності, санітарно-гігієнічних вимог;</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інші обов’язки, передбачені чинним законодавством, посадовими обов’язками, цим Статутом.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4.4.14. Педагогічні працівники, які систематично порушують цей Стату</w:t>
      </w:r>
      <w:r>
        <w:rPr>
          <w:rFonts w:ascii="Times New Roman" w:hAnsi="Times New Roman" w:cs="Times New Roman"/>
          <w:sz w:val="28"/>
          <w:szCs w:val="28"/>
          <w:lang w:val="uk-UA"/>
        </w:rPr>
        <w:t xml:space="preserve">т, правила внутрішнього розпорядку закладу освіти, не виконують посадових обов’язків, умови трудового договору або за результатами атестації не відповідають займаній посаді, звільняються або притягаються до відповідальності згідно з чинним законодавством.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4.5. Права і обов’язки інших працівників, які залучаються до освітнього процесу регулюються трудовим законодавством, відповідними договорами, цим Статутом та правилами внутрішнього розпорядку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4.6. Батьки (особи, які їх замінюють)</w:t>
      </w:r>
      <w:r>
        <w:rPr>
          <w:rFonts w:ascii="Times New Roman" w:hAnsi="Times New Roman" w:cs="Times New Roman"/>
          <w:sz w:val="28"/>
          <w:szCs w:val="28"/>
          <w:lang w:val="uk-UA"/>
        </w:rPr>
        <w:t xml:space="preserve">:</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4.6.1. Батьки або особи, які їх замінюють, мають право:</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захищати відповідно до законодавства права та законні інтереси здобувачів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звертатися до директора</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закладу освіти, органів управління освітою з питань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брати участь у громадському самоврядуванні закладу освіти, зокрема обирати і бути обраними до органів громадського самоврядування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завчасн</w:t>
      </w:r>
      <w:r>
        <w:rPr>
          <w:rFonts w:ascii="Times New Roman" w:hAnsi="Times New Roman" w:cs="Times New Roman"/>
          <w:sz w:val="28"/>
          <w:szCs w:val="28"/>
          <w:lang w:val="uk-UA"/>
        </w:rPr>
        <w:t xml:space="preserve">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інноваційну діяльність  закладу та надавати згоду на участь у них дитини;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брати участь у розробленні індивідуальної програми розвитку дитини та/або індивідуального навчального плану;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здійснювати індивідуальний супровід дитини з особливими освітніми потребами під час її перебування у закладі загальної середньої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у закладі освіти та його освітньої діяльності;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приймати рішення щодо участі дітей в заходах організованих закладом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4.6.2. Батьки та особи, які їх замінюють, є відповідальними за здобуття дітьми повної загальної середньої освіти, їх виховання і зобов’язані: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дбати про фізичне і психічне здоров’я дитини, сприяти розвитку її здібностей, формувати навички здорового способу життя;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поважати гідність, права, свободи і законні інтереси дитини та інших учасників освітнього процесу;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виховувати у дитини повагу до державної мови та державних символів України, її національних, історичних, культурних цінностей, дбайливе ставлення до історико-культурного надбання України та національних меншин;</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формувати у дитини культуру діалогу, к</w:t>
      </w:r>
      <w:r>
        <w:rPr>
          <w:rFonts w:ascii="Times New Roman" w:hAnsi="Times New Roman" w:cs="Times New Roman"/>
          <w:sz w:val="28"/>
          <w:szCs w:val="28"/>
          <w:lang w:val="uk-UA"/>
        </w:rPr>
        <w:t xml:space="preserve">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сприяти виконанню дитиною освітньої програми та досягненню дитиною передбачених нею результатів навчання;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дотримуватися установчих документів, правил внутрішнього розпорядку закладу освіти, а також умов договору про надання освітніх послуг (за наявності);</w:t>
      </w:r>
      <w:r>
        <w:rPr>
          <w:rFonts w:ascii="Times New Roman" w:hAnsi="Times New Roman" w:cs="Times New Roman"/>
          <w:sz w:val="28"/>
          <w:szCs w:val="28"/>
          <w:lang w:val="uk-UA"/>
        </w:rPr>
        <w:t xml:space="preserve">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сприяти керівництву закладу освіти у проведенні розслідування щодо випадків булінгу (цькування);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виконувати рішення та рекомендації комісії з розгляду випадків булінгу (цькування) в закладі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4.7. У разі невиконання батьками та особами, які їх замінюють, обов’язків, передбачених законодавством, заклад освіти може порушувати в установленому порядку клопотання про відповідальність таких осіб, у тому числі позбавлення їх батьківських прав.</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V. Управління закладом освіти та громадське самоврядування закладу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5.1 Управління закладом загальної середньої освіти</w:t>
      </w:r>
      <w:r>
        <w:rPr>
          <w:rFonts w:ascii="Times New Roman" w:hAnsi="Times New Roman" w:cs="Times New Roman"/>
          <w:sz w:val="28"/>
          <w:szCs w:val="28"/>
          <w:lang w:val="uk-UA"/>
        </w:rPr>
        <w:t xml:space="preserve"> та його філій</w:t>
      </w:r>
      <w:r>
        <w:rPr>
          <w:rFonts w:ascii="Times New Roman" w:hAnsi="Times New Roman" w:cs="Times New Roman"/>
          <w:sz w:val="28"/>
          <w:szCs w:val="28"/>
          <w:lang w:val="uk-UA"/>
        </w:rPr>
        <w:t xml:space="preserve"> здійснюють:</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засновник або уповноважений ним орган;</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керівник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педагогічна рада;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вищий колегіальний орган громадського самоврядування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В філії закладу освіти, в якій кількість здобувачів освіти перевищує 20 осіб </w:t>
      </w:r>
      <w:r>
        <w:rPr>
          <w:rFonts w:ascii="Times New Roman" w:hAnsi="Times New Roman" w:cs="Times New Roman"/>
          <w:sz w:val="28"/>
          <w:szCs w:val="28"/>
          <w:lang w:val="uk-UA"/>
        </w:rPr>
        <w:t xml:space="preserve">є завідувач філії.</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5.2. Керівництво закладом освіти </w:t>
      </w:r>
      <w:r>
        <w:rPr>
          <w:rFonts w:ascii="Times New Roman" w:hAnsi="Times New Roman" w:cs="Times New Roman"/>
          <w:sz w:val="28"/>
          <w:szCs w:val="28"/>
          <w:lang w:val="uk-UA"/>
        </w:rPr>
        <w:t xml:space="preserve">та його філіями </w:t>
      </w:r>
      <w:r>
        <w:rPr>
          <w:rFonts w:ascii="Times New Roman" w:hAnsi="Times New Roman" w:cs="Times New Roman"/>
          <w:sz w:val="28"/>
          <w:szCs w:val="28"/>
          <w:lang w:val="uk-UA"/>
        </w:rPr>
        <w:t xml:space="preserve">здійснює директор, повноваження якого визначаються Законами України «Про освіту», «Про повну загальну середню освіту», цим Статутом та трудовим договором</w:t>
      </w:r>
      <w:r>
        <w:rPr>
          <w:rFonts w:ascii="Times New Roman" w:hAnsi="Times New Roman" w:cs="Times New Roman"/>
          <w:sz w:val="28"/>
          <w:szCs w:val="28"/>
          <w:lang w:val="uk-UA"/>
        </w:rPr>
        <w:t xml:space="preserve"> (контрактом)</w:t>
      </w:r>
      <w:r>
        <w:rPr>
          <w:rFonts w:ascii="Times New Roman" w:hAnsi="Times New Roman" w:cs="Times New Roman"/>
          <w:sz w:val="28"/>
          <w:szCs w:val="28"/>
          <w:lang w:val="uk-UA"/>
        </w:rPr>
        <w:t xml:space="preserve">. Керівник закладу освіти здійснює безпосереднє управління закладом і несе відповідал</w:t>
      </w:r>
      <w:r>
        <w:rPr>
          <w:rFonts w:ascii="Times New Roman" w:hAnsi="Times New Roman" w:cs="Times New Roman"/>
          <w:sz w:val="28"/>
          <w:szCs w:val="28"/>
          <w:lang w:val="uk-UA"/>
        </w:rPr>
        <w:t xml:space="preserve">ьність за освітню, фінансово-господарську та іншу діяльність закладу освіти. Керівник є представником закладу освіти у відносинах з державними органами, органами місцевого самоврядування, юридичними та фізичними особами і діє без довіреності в межах своїх </w:t>
      </w:r>
      <w:r>
        <w:rPr>
          <w:rFonts w:ascii="Times New Roman" w:hAnsi="Times New Roman" w:cs="Times New Roman"/>
          <w:sz w:val="28"/>
          <w:szCs w:val="28"/>
          <w:lang w:val="uk-UA"/>
        </w:rPr>
        <w:t xml:space="preserve">повноважень, передбачених законом та установчими документами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3</w:t>
      </w:r>
      <w:r>
        <w:rPr>
          <w:rFonts w:ascii="Times New Roman" w:hAnsi="Times New Roman" w:cs="Times New Roman"/>
          <w:sz w:val="28"/>
          <w:szCs w:val="28"/>
          <w:lang w:val="uk-UA"/>
        </w:rPr>
        <w:t xml:space="preserve">. Керівник закладу освіти призначається на посаду </w:t>
      </w:r>
      <w:r>
        <w:rPr>
          <w:rFonts w:ascii="Times New Roman" w:hAnsi="Times New Roman" w:cs="Times New Roman"/>
          <w:sz w:val="28"/>
          <w:szCs w:val="28"/>
          <w:lang w:val="uk-UA"/>
        </w:rPr>
        <w:t xml:space="preserve">Органом управління </w:t>
      </w:r>
      <w:r>
        <w:rPr>
          <w:rFonts w:ascii="Times New Roman" w:hAnsi="Times New Roman" w:cs="Times New Roman"/>
          <w:sz w:val="28"/>
          <w:szCs w:val="28"/>
          <w:lang w:val="uk-UA"/>
        </w:rPr>
        <w:t xml:space="preserve">за результатами конкурсного відбору</w:t>
      </w:r>
      <w:r>
        <w:rPr>
          <w:rFonts w:ascii="Times New Roman" w:hAnsi="Times New Roman" w:cs="Times New Roman"/>
          <w:sz w:val="28"/>
          <w:szCs w:val="28"/>
          <w:lang w:val="uk-UA"/>
        </w:rPr>
        <w:t xml:space="preserve">, умови якого визначені </w:t>
      </w:r>
      <w:r>
        <w:rPr>
          <w:rFonts w:ascii="Times New Roman" w:hAnsi="Times New Roman" w:cs="Times New Roman"/>
          <w:sz w:val="28"/>
          <w:szCs w:val="28"/>
          <w:lang w:val="uk-UA"/>
        </w:rPr>
        <w:t xml:space="preserve"> Положення</w:t>
      </w:r>
      <w:r>
        <w:rPr>
          <w:rFonts w:ascii="Times New Roman" w:hAnsi="Times New Roman" w:cs="Times New Roman"/>
          <w:sz w:val="28"/>
          <w:szCs w:val="28"/>
          <w:lang w:val="uk-UA"/>
        </w:rPr>
        <w:t xml:space="preserve">м</w:t>
      </w:r>
      <w:r>
        <w:rPr>
          <w:rFonts w:ascii="Times New Roman" w:hAnsi="Times New Roman" w:cs="Times New Roman"/>
          <w:sz w:val="28"/>
          <w:szCs w:val="28"/>
          <w:lang w:val="uk-UA"/>
        </w:rPr>
        <w:t xml:space="preserve"> про конкурс на посаду керівника закладу з числа претендентів, які є гр</w:t>
      </w:r>
      <w:r>
        <w:rPr>
          <w:rFonts w:ascii="Times New Roman" w:hAnsi="Times New Roman" w:cs="Times New Roman"/>
          <w:sz w:val="28"/>
          <w:szCs w:val="28"/>
          <w:lang w:val="uk-UA"/>
        </w:rPr>
        <w:t xml:space="preserve">омадянами України, вільно володіють державною мовою і мають вищу освіту ступеня не нижче магістра, стаж педагогічної та/або науково-педагогічної роботи не менше трьох років. Додаткові кваліфікаційні вимоги до керівника та порядок його обрання (призначення)</w:t>
      </w:r>
      <w:r>
        <w:rPr>
          <w:rFonts w:ascii="Times New Roman" w:hAnsi="Times New Roman" w:cs="Times New Roman"/>
          <w:sz w:val="28"/>
          <w:szCs w:val="28"/>
          <w:lang w:val="uk-UA"/>
        </w:rPr>
        <w:t xml:space="preserve"> можуть бути </w:t>
      </w:r>
      <w:r>
        <w:rPr>
          <w:rFonts w:ascii="Times New Roman" w:hAnsi="Times New Roman" w:cs="Times New Roman"/>
          <w:sz w:val="28"/>
          <w:szCs w:val="28"/>
          <w:lang w:val="uk-UA"/>
        </w:rPr>
        <w:t xml:space="preserve"> визнач</w:t>
      </w:r>
      <w:r>
        <w:rPr>
          <w:rFonts w:ascii="Times New Roman" w:hAnsi="Times New Roman" w:cs="Times New Roman"/>
          <w:sz w:val="28"/>
          <w:szCs w:val="28"/>
          <w:lang w:val="uk-UA"/>
        </w:rPr>
        <w:t xml:space="preserve">ені</w:t>
      </w:r>
      <w:r>
        <w:rPr>
          <w:rFonts w:ascii="Times New Roman" w:hAnsi="Times New Roman" w:cs="Times New Roman"/>
          <w:sz w:val="28"/>
          <w:szCs w:val="28"/>
          <w:lang w:val="uk-UA"/>
        </w:rPr>
        <w:t xml:space="preserve"> Положенням про конкурс на посаду керівника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4</w:t>
      </w:r>
      <w:r>
        <w:rPr>
          <w:rFonts w:ascii="Times New Roman" w:hAnsi="Times New Roman" w:cs="Times New Roman"/>
          <w:sz w:val="28"/>
          <w:szCs w:val="28"/>
          <w:lang w:val="uk-UA"/>
        </w:rPr>
        <w:t xml:space="preserve">. Керівник закладу освіти в межах наданих йому повноважень:</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організовує діяльність закладу освіти</w:t>
      </w:r>
      <w:r>
        <w:rPr>
          <w:rFonts w:ascii="Times New Roman" w:hAnsi="Times New Roman" w:cs="Times New Roman"/>
          <w:sz w:val="28"/>
          <w:szCs w:val="28"/>
          <w:lang w:val="uk-UA"/>
        </w:rPr>
        <w:t xml:space="preserve"> та його філій</w:t>
      </w:r>
      <w:r>
        <w:rPr>
          <w:rFonts w:ascii="Times New Roman" w:hAnsi="Times New Roman" w:cs="Times New Roman"/>
          <w:sz w:val="28"/>
          <w:szCs w:val="28"/>
          <w:lang w:val="uk-UA"/>
        </w:rPr>
        <w:t xml:space="preserve">;</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вирішує питання фінансово-господарської діяльності закладу освіти</w:t>
      </w:r>
      <w:r>
        <w:rPr>
          <w:rFonts w:ascii="Times New Roman" w:hAnsi="Times New Roman" w:cs="Times New Roman"/>
          <w:sz w:val="28"/>
          <w:szCs w:val="28"/>
          <w:lang w:val="uk-UA"/>
        </w:rPr>
        <w:t xml:space="preserve"> та його філій</w:t>
      </w:r>
      <w:r>
        <w:rPr>
          <w:rFonts w:ascii="Times New Roman" w:hAnsi="Times New Roman" w:cs="Times New Roman"/>
          <w:sz w:val="28"/>
          <w:szCs w:val="28"/>
          <w:lang w:val="uk-UA"/>
        </w:rPr>
        <w:t xml:space="preserve">;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призначає на посаду та звільняє з посади заступників директора, педагогічних та інших працівників закладу, визначає їх посадові обов’язки;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забезпечує</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організацію освітнього процесу та здійснення контролю за виконанням освітніх програм;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забезпечує </w:t>
      </w:r>
      <w:r>
        <w:rPr>
          <w:rFonts w:ascii="Times New Roman" w:hAnsi="Times New Roman" w:cs="Times New Roman"/>
          <w:sz w:val="28"/>
          <w:szCs w:val="28"/>
          <w:lang w:val="uk-UA"/>
        </w:rPr>
        <w:t xml:space="preserve">функціонування внутрішньої системи забезпечення якості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забезпечує </w:t>
      </w:r>
      <w:r>
        <w:rPr>
          <w:rFonts w:ascii="Times New Roman" w:hAnsi="Times New Roman" w:cs="Times New Roman"/>
          <w:sz w:val="28"/>
          <w:szCs w:val="28"/>
          <w:lang w:val="uk-UA"/>
        </w:rPr>
        <w:t xml:space="preserve">умови для здійснення дієвого та відкритого громадського контролю за діяльністю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забезпечує </w:t>
      </w:r>
      <w:r>
        <w:rPr>
          <w:rFonts w:ascii="Times New Roman" w:hAnsi="Times New Roman" w:cs="Times New Roman"/>
          <w:sz w:val="28"/>
          <w:szCs w:val="28"/>
          <w:lang w:val="uk-UA"/>
        </w:rPr>
        <w:t xml:space="preserve">своєчасне та якісне подання статистичної звітності;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сприяє та створює умови для діяльності органів самоврядування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забезпечує створення у закладі освіти </w:t>
      </w:r>
      <w:r>
        <w:rPr>
          <w:rFonts w:ascii="Times New Roman" w:hAnsi="Times New Roman" w:cs="Times New Roman"/>
          <w:sz w:val="28"/>
          <w:szCs w:val="28"/>
          <w:lang w:val="uk-UA"/>
        </w:rPr>
        <w:t xml:space="preserve">та його філіях </w:t>
      </w:r>
      <w:r>
        <w:rPr>
          <w:rFonts w:ascii="Times New Roman" w:hAnsi="Times New Roman" w:cs="Times New Roman"/>
          <w:sz w:val="28"/>
          <w:szCs w:val="28"/>
          <w:lang w:val="uk-UA"/>
        </w:rPr>
        <w:t xml:space="preserve">безпечного освітнього середовища, вільного від насильства та булінгу (цькування), для чого</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розробляє, затверджує та оприлюднює план заходів, спрямованих на запобігання та протидію булінгу (цькуванню) в закладі освіти</w:t>
      </w:r>
      <w:r>
        <w:rPr>
          <w:rFonts w:ascii="Times New Roman" w:hAnsi="Times New Roman" w:cs="Times New Roman"/>
          <w:sz w:val="28"/>
          <w:szCs w:val="28"/>
          <w:lang w:val="uk-UA"/>
        </w:rPr>
        <w:t xml:space="preserve">,</w:t>
      </w:r>
      <w:r>
        <w:rPr>
          <w:rFonts w:ascii="Times New Roman" w:hAnsi="Times New Roman" w:cs="Times New Roman"/>
          <w:sz w:val="28"/>
          <w:szCs w:val="28"/>
          <w:lang w:val="uk-UA"/>
        </w:rPr>
        <w:t xml:space="preserve"> 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w:t>
      </w:r>
      <w:r>
        <w:rPr>
          <w:rFonts w:ascii="Times New Roman" w:hAnsi="Times New Roman" w:cs="Times New Roman"/>
          <w:sz w:val="28"/>
          <w:szCs w:val="28"/>
          <w:lang w:val="uk-UA"/>
        </w:rPr>
        <w:t xml:space="preserve">,</w:t>
      </w:r>
      <w:r>
        <w:rPr>
          <w:rFonts w:ascii="Times New Roman" w:hAnsi="Times New Roman" w:cs="Times New Roman"/>
          <w:sz w:val="28"/>
          <w:szCs w:val="28"/>
          <w:lang w:val="uk-UA"/>
        </w:rPr>
        <w:t xml:space="preserve"> скликає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реагування;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забезпечує виконання заходів для надання соціальних та психолого- педагогічних послуг здобувачам освіти, які вчинили булінг, стали його свідками або постраждали від булінгу (цькування);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повідомляє уповноваженим підрозділам органів Національної поліції України та службі у справах дітей про випадки булінгу (цькування) в закладі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здійснює інші повноваження, що делеговані засновником закладу освіти або уповноваженим ним органом та/або передбачені Законами України «Про освіту», «Про повну загальну середню освіту».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5. </w:t>
      </w:r>
      <w:r>
        <w:rPr>
          <w:rFonts w:ascii="Times New Roman" w:hAnsi="Times New Roman" w:cs="Times New Roman"/>
          <w:sz w:val="28"/>
          <w:szCs w:val="28"/>
          <w:lang w:val="uk-UA"/>
        </w:rPr>
        <w:t xml:space="preserve">Керівник закладу освіти зобов’язаний:</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виконувати Закони України «Про освіту», «Про повну загальну середню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планувати та організовувати діяльність закладу освіти</w:t>
      </w:r>
      <w:r>
        <w:rPr>
          <w:rFonts w:ascii="Times New Roman" w:hAnsi="Times New Roman" w:cs="Times New Roman"/>
          <w:sz w:val="28"/>
          <w:szCs w:val="28"/>
          <w:lang w:val="uk-UA"/>
        </w:rPr>
        <w:t xml:space="preserve"> та його філій</w:t>
      </w:r>
      <w:r>
        <w:rPr>
          <w:rFonts w:ascii="Times New Roman" w:hAnsi="Times New Roman" w:cs="Times New Roman"/>
          <w:sz w:val="28"/>
          <w:szCs w:val="28"/>
          <w:lang w:val="uk-UA"/>
        </w:rPr>
        <w:t xml:space="preserve">;</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забезпечувати розроблення та виконання стратегії розвитку закладу освіти</w:t>
      </w:r>
      <w:r>
        <w:rPr>
          <w:rFonts w:ascii="Times New Roman" w:hAnsi="Times New Roman" w:cs="Times New Roman"/>
          <w:sz w:val="28"/>
          <w:szCs w:val="28"/>
          <w:lang w:val="uk-UA"/>
        </w:rPr>
        <w:t xml:space="preserve"> та його філій</w:t>
      </w:r>
      <w:r>
        <w:rPr>
          <w:rFonts w:ascii="Times New Roman" w:hAnsi="Times New Roman" w:cs="Times New Roman"/>
          <w:sz w:val="28"/>
          <w:szCs w:val="28"/>
          <w:lang w:val="uk-UA"/>
        </w:rPr>
        <w:t xml:space="preserve">;</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затверджувати правила внутрішнього розпорядку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організовувати освітній процес та видачу документів про освіту;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затверджувати освітні програми закладу освіти відповідно до Закону «Про повну загальну середню освіту»;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створювати умови для реалізації прав та обов</w:t>
      </w:r>
      <w:r>
        <w:rPr>
          <w:rFonts w:ascii="Times New Roman" w:hAnsi="Times New Roman" w:cs="Times New Roman"/>
          <w:sz w:val="28"/>
          <w:szCs w:val="28"/>
          <w:lang w:val="uk-UA"/>
        </w:rPr>
        <w:t xml:space="preserve">’язків усіх учасників освітнього процесу, в тому числі й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сприяти проходженню атестації та сертифікації педагогічними працівниками;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затверджувати положення про внутрішню систему забезпечення якості освіти в закладі освіти, забезпечити її створення та функціонування;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забезпечувати розроблення, затвердження, виконання та моніторинг виконання індивідуальної програми розвитку </w:t>
      </w:r>
      <w:r>
        <w:rPr>
          <w:rFonts w:ascii="Times New Roman" w:hAnsi="Times New Roman" w:cs="Times New Roman"/>
          <w:sz w:val="28"/>
          <w:szCs w:val="28"/>
          <w:lang w:val="uk-UA"/>
        </w:rPr>
        <w:t xml:space="preserve">здобувача освіти</w:t>
      </w:r>
      <w:r>
        <w:rPr>
          <w:rFonts w:ascii="Times New Roman" w:hAnsi="Times New Roman" w:cs="Times New Roman"/>
          <w:sz w:val="28"/>
          <w:szCs w:val="28"/>
          <w:lang w:val="uk-UA"/>
        </w:rPr>
        <w:t xml:space="preserve">;</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контролювати виконання педагогічними працівниками та </w:t>
      </w:r>
      <w:r>
        <w:rPr>
          <w:rFonts w:ascii="Times New Roman" w:hAnsi="Times New Roman" w:cs="Times New Roman"/>
          <w:sz w:val="28"/>
          <w:szCs w:val="28"/>
          <w:lang w:val="uk-UA"/>
        </w:rPr>
        <w:t xml:space="preserve">здобувачами освіти</w:t>
      </w:r>
      <w:r>
        <w:rPr>
          <w:rFonts w:ascii="Times New Roman" w:hAnsi="Times New Roman" w:cs="Times New Roman"/>
          <w:sz w:val="28"/>
          <w:szCs w:val="28"/>
          <w:lang w:val="uk-UA"/>
        </w:rPr>
        <w:t xml:space="preserve"> освітньої програми, індивідуальної програми розвитку, індивідуального навчального плану;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забезпе</w:t>
      </w:r>
      <w:r>
        <w:rPr>
          <w:rFonts w:ascii="Times New Roman" w:hAnsi="Times New Roman" w:cs="Times New Roman"/>
          <w:sz w:val="28"/>
          <w:szCs w:val="28"/>
          <w:lang w:val="uk-UA"/>
        </w:rPr>
        <w:t xml:space="preserve">чувати контроль за досягненням здобувачами освіти</w:t>
      </w:r>
      <w:r>
        <w:rPr>
          <w:rFonts w:ascii="Times New Roman" w:hAnsi="Times New Roman" w:cs="Times New Roman"/>
          <w:sz w:val="28"/>
          <w:szCs w:val="28"/>
          <w:lang w:val="uk-UA"/>
        </w:rPr>
        <w:t xml:space="preserve"> результатів навчання, визначених Державними стандартами початкової, базової та повної загальної середньої освіти, індивідуальною програмою розвитку, індивідуальним навчальним планом;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створювати необхідні умови для здобуття освіти особами з особливими освітніми потребами;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створювати умови для здійснення дієвого та відкритого громадського нагляду (контролю) за діяльністю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сприяти та створювати умови для діяльності органів громадського самоврядування в закладі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формувати засади, створювати умови, сприяти формуванню культури здорового способу життя учнів та працівників закладу загальної середньої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створювати в закладі освіти безпечне освітнє середовище, забезпечувати дотримання вимог щодо охорони дитинства, охорони праці, вимог техніки безпеки;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організовувати харчування та сприяти медичному обслуговуванню </w:t>
      </w:r>
      <w:r>
        <w:rPr>
          <w:rFonts w:ascii="Times New Roman" w:hAnsi="Times New Roman" w:cs="Times New Roman"/>
          <w:sz w:val="28"/>
          <w:szCs w:val="28"/>
          <w:lang w:val="uk-UA"/>
        </w:rPr>
        <w:t xml:space="preserve">здобувачів освіти</w:t>
      </w:r>
      <w:r>
        <w:rPr>
          <w:rFonts w:ascii="Times New Roman" w:hAnsi="Times New Roman" w:cs="Times New Roman"/>
          <w:sz w:val="28"/>
          <w:szCs w:val="28"/>
          <w:lang w:val="uk-UA"/>
        </w:rPr>
        <w:t xml:space="preserve"> відповідно до законодавства;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забезпечувати відкритість і прозорість діяльності закладу освіти, зокрема шляхом оприлюднення публічної інформації відповідно до вимог </w:t>
      </w:r>
      <w:r>
        <w:rPr>
          <w:rFonts w:ascii="Times New Roman" w:hAnsi="Times New Roman" w:cs="Times New Roman"/>
          <w:sz w:val="28"/>
          <w:szCs w:val="28"/>
          <w:lang w:val="uk-UA"/>
        </w:rPr>
        <w:t xml:space="preserve">законів України «Про освіту», «Про доступ до публічної інформації», «Про відкритість використання публічних коштів» та інших законів України;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здійснювати зарахування, переведення, відрахування </w:t>
      </w:r>
      <w:r>
        <w:rPr>
          <w:rFonts w:ascii="Times New Roman" w:hAnsi="Times New Roman" w:cs="Times New Roman"/>
          <w:sz w:val="28"/>
          <w:szCs w:val="28"/>
          <w:lang w:val="uk-UA"/>
        </w:rPr>
        <w:t xml:space="preserve">здобувачів освіти</w:t>
      </w:r>
      <w:r>
        <w:rPr>
          <w:rFonts w:ascii="Times New Roman" w:hAnsi="Times New Roman" w:cs="Times New Roman"/>
          <w:sz w:val="28"/>
          <w:szCs w:val="28"/>
          <w:lang w:val="uk-UA"/>
        </w:rPr>
        <w:t xml:space="preserve">, а також їх заохочення (відзначення) та притягнення до відповідальності відповідно до вимог законодавства;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організовувати документообіг та звітність відповідно до законодавства;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звітувати щороку на загальних зборах (конференції) колективу про свою роботу та виконання стратегії розвитку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виконувати інші обов’язки, покладені на нього законодавством, засновником, установчими документами закладу освіти, колективним договором, строковим трудовим договором.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6</w:t>
      </w:r>
      <w:r>
        <w:rPr>
          <w:rFonts w:ascii="Times New Roman" w:hAnsi="Times New Roman" w:cs="Times New Roman"/>
          <w:sz w:val="28"/>
          <w:szCs w:val="28"/>
          <w:lang w:val="uk-UA"/>
        </w:rPr>
        <w:t xml:space="preserve">. Підставами для дострокового звільнення керівника закладу освіти, які повинні бути передбачені в укладеному з ним трудовому договорі</w:t>
      </w:r>
      <w:r>
        <w:rPr>
          <w:rFonts w:ascii="Times New Roman" w:hAnsi="Times New Roman" w:cs="Times New Roman"/>
          <w:sz w:val="28"/>
          <w:szCs w:val="28"/>
          <w:lang w:val="uk-UA"/>
        </w:rPr>
        <w:t xml:space="preserve"> (контракті)</w:t>
      </w:r>
      <w:r>
        <w:rPr>
          <w:rFonts w:ascii="Times New Roman" w:hAnsi="Times New Roman" w:cs="Times New Roman"/>
          <w:sz w:val="28"/>
          <w:szCs w:val="28"/>
          <w:lang w:val="uk-UA"/>
        </w:rPr>
        <w:t xml:space="preserve">, є:</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порушення вимог Закону України «Про повну загальну середню освіту» щодо мови освітнього процесу;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порушення прав учнів чи працівників, встановлене рішенням суду, яке набрало законної сили;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систематичне неналежне виконання інших обов’язків керівника, визначених Законом України «Про повну загальну середню освіту» та цим Статутом;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неусунення у визначений термін порушень вимог законодавства, виявлених під час інституційного аудиту чи позапланового заходу державного нагляду (контролю)</w:t>
      </w:r>
      <w:r>
        <w:rPr>
          <w:rFonts w:ascii="Times New Roman" w:hAnsi="Times New Roman" w:cs="Times New Roman"/>
          <w:sz w:val="28"/>
          <w:szCs w:val="28"/>
          <w:lang w:val="uk-UA"/>
        </w:rPr>
        <w:t xml:space="preserve">;</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з інших підстав, визначених законодавством</w:t>
      </w:r>
      <w:r>
        <w:rPr>
          <w:rFonts w:ascii="Times New Roman" w:hAnsi="Times New Roman" w:cs="Times New Roman"/>
          <w:sz w:val="28"/>
          <w:szCs w:val="28"/>
          <w:lang w:val="uk-UA"/>
        </w:rPr>
        <w:t xml:space="preserve">.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5.7</w:t>
      </w:r>
      <w:r>
        <w:rPr>
          <w:rFonts w:ascii="Times New Roman" w:hAnsi="Times New Roman" w:cs="Times New Roman"/>
          <w:sz w:val="28"/>
          <w:szCs w:val="28"/>
          <w:lang w:val="uk-UA"/>
        </w:rPr>
        <w:t xml:space="preserve">. Колегіальним органом управління закладу освіти є педагогічна рада, </w:t>
      </w:r>
      <w:r>
        <w:rPr>
          <w:rFonts w:ascii="Times New Roman" w:hAnsi="Times New Roman" w:cs="Times New Roman"/>
          <w:sz w:val="28"/>
          <w:szCs w:val="28"/>
          <w:lang w:val="uk-UA"/>
        </w:rPr>
        <w:t xml:space="preserve">повноваження якої визначаються Законом України «Про освіту», Законом України «Про повну загальну середню освіту» та цим Статутом. Головою педагогічної ради є директор. Усі педагогічні працівники закладу освіти беруть участь у засіданнях педагогічної ради.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8</w:t>
      </w:r>
      <w:r>
        <w:rPr>
          <w:rFonts w:ascii="Times New Roman" w:hAnsi="Times New Roman" w:cs="Times New Roman"/>
          <w:sz w:val="28"/>
          <w:szCs w:val="28"/>
          <w:lang w:val="uk-UA"/>
        </w:rPr>
        <w:t xml:space="preserve">. Засідання педагогічної ради проводяться у міру потреби та відповідно до чинного законодавства.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9</w:t>
      </w:r>
      <w:r>
        <w:rPr>
          <w:rFonts w:ascii="Times New Roman" w:hAnsi="Times New Roman" w:cs="Times New Roman"/>
          <w:sz w:val="28"/>
          <w:szCs w:val="28"/>
          <w:lang w:val="uk-UA"/>
        </w:rPr>
        <w:t xml:space="preserve">. Педагогічна рада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схвалює стратегію розвитку закладу освіти та річний план роботи;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схвалює освітню (освітні) програму (програми) закладу та оцінює результативність її (їх) виконання;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схвалює правила внутрішнього розпорядку, положення про внутрішню систему забезпечення якості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приймає рішення щодо вдосконалення і методичного забезпечення освітнього процесу;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приймає рішення щодо переведення учнів до наступного класу і їх відрахування, притягнення до відповідальності за невиконання обов’язків, а також щодо відзначення, морального чи матеріального заохочення учасників освітнього процесу;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р</w:t>
      </w:r>
      <w:r>
        <w:rPr>
          <w:rFonts w:ascii="Times New Roman" w:hAnsi="Times New Roman" w:cs="Times New Roman"/>
          <w:sz w:val="28"/>
          <w:szCs w:val="28"/>
          <w:lang w:val="uk-UA"/>
        </w:rPr>
        <w:t xml:space="preserve">озглядає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приймає рішення щодо визнання результатів підвищення кваліфікації педагогічного працівника, отриманих ним поза закладом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приймає рішення щодо впровадження в освітній процес педагогічного досвіду та інновацій;</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розглядає питання впровадженн</w:t>
      </w:r>
      <w:r>
        <w:rPr>
          <w:rFonts w:ascii="Times New Roman" w:hAnsi="Times New Roman" w:cs="Times New Roman"/>
          <w:sz w:val="28"/>
          <w:szCs w:val="28"/>
          <w:lang w:val="uk-UA"/>
        </w:rPr>
        <w:t xml:space="preserve">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має право ініціювати проведення позапланового інституційного аудиту закладу та проведення громадської акредитації закладу;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розглядає інші питання, віднесені Законом України «Про освіту», «Про повну загальну середню освіту» та/або цим Статутом до її повноважень.</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Рішення педагогічної ради закладу освіти вводяться в дію наказом керівника закладу.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10</w:t>
      </w:r>
      <w:r>
        <w:rPr>
          <w:rFonts w:ascii="Times New Roman" w:hAnsi="Times New Roman" w:cs="Times New Roman"/>
          <w:sz w:val="28"/>
          <w:szCs w:val="28"/>
          <w:lang w:val="uk-UA"/>
        </w:rPr>
        <w:t xml:space="preserve">. Засідання педагогічної ради є правомочним, якщо на ньому присутні не менше двох третин її складу. Рішенн</w:t>
      </w:r>
      <w:r>
        <w:rPr>
          <w:rFonts w:ascii="Times New Roman" w:hAnsi="Times New Roman" w:cs="Times New Roman"/>
          <w:sz w:val="28"/>
          <w:szCs w:val="28"/>
          <w:lang w:val="uk-UA"/>
        </w:rPr>
        <w:t xml:space="preserve">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підписують голова та секретар педагогічної ради.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11</w:t>
      </w:r>
      <w:r>
        <w:rPr>
          <w:rFonts w:ascii="Times New Roman" w:hAnsi="Times New Roman" w:cs="Times New Roman"/>
          <w:sz w:val="28"/>
          <w:szCs w:val="28"/>
          <w:lang w:val="uk-UA"/>
        </w:rPr>
        <w:t xml:space="preserve">. Рішення педагогічної ради, прийняті в межах її повноважень, вводяться в дію наказом керівника закладу освіти та є обов’язковим до виконання всіма учасниками освітнього процесу.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12</w:t>
      </w:r>
      <w:r>
        <w:rPr>
          <w:rFonts w:ascii="Times New Roman" w:hAnsi="Times New Roman" w:cs="Times New Roman"/>
          <w:sz w:val="28"/>
          <w:szCs w:val="28"/>
          <w:lang w:val="uk-UA"/>
        </w:rPr>
        <w:t xml:space="preserve">. Вищим колегіальним органом громадського самоврядування закладу освіти є загальні збори (конференція) колективу закладу освіти, що скликают</w:t>
      </w:r>
      <w:r>
        <w:rPr>
          <w:rFonts w:ascii="Times New Roman" w:hAnsi="Times New Roman" w:cs="Times New Roman"/>
          <w:sz w:val="28"/>
          <w:szCs w:val="28"/>
          <w:lang w:val="uk-UA"/>
        </w:rPr>
        <w:t xml:space="preserve">ься не менш як один раз на рік </w:t>
      </w:r>
      <w:r>
        <w:rPr>
          <w:rFonts w:ascii="Times New Roman" w:hAnsi="Times New Roman" w:cs="Times New Roman"/>
          <w:sz w:val="28"/>
          <w:szCs w:val="28"/>
          <w:lang w:val="uk-UA"/>
        </w:rPr>
        <w:t xml:space="preserve">та формуються з уповноважених представників усіх учасників освітнього процесу.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 xml:space="preserve">5.13. Делегати загальних зборів </w:t>
      </w:r>
      <w:r>
        <w:rPr>
          <w:rFonts w:ascii="Times New Roman" w:hAnsi="Times New Roman" w:cs="Times New Roman"/>
          <w:sz w:val="28"/>
          <w:szCs w:val="28"/>
          <w:lang w:val="uk-UA"/>
        </w:rPr>
        <w:t xml:space="preserve">з правом вирішального голосу обираються від:</w:t>
      </w:r>
      <w:r/>
    </w:p>
    <w:p>
      <w:pPr>
        <w:ind w:firstLine="567"/>
        <w:jc w:val="both"/>
        <w:spacing w:lineRule="auto" w:line="240" w:after="0"/>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 - працівників закладу освіти – зборами трудового колективу у кількості – </w:t>
      </w:r>
      <w:r>
        <w:rPr>
          <w:rFonts w:ascii="Times New Roman" w:hAnsi="Times New Roman" w:cs="Times New Roman"/>
          <w:color w:val="000000" w:themeColor="text1"/>
          <w:sz w:val="28"/>
          <w:szCs w:val="28"/>
          <w:lang w:val="uk-UA"/>
        </w:rPr>
        <w:t xml:space="preserve">8</w:t>
      </w:r>
      <w:r>
        <w:rPr>
          <w:rFonts w:ascii="Times New Roman" w:hAnsi="Times New Roman" w:cs="Times New Roman"/>
          <w:color w:val="000000" w:themeColor="text1"/>
          <w:sz w:val="28"/>
          <w:szCs w:val="28"/>
          <w:lang w:val="uk-UA"/>
        </w:rPr>
        <w:t xml:space="preserve"> осіб</w:t>
      </w:r>
      <w:r>
        <w:rPr>
          <w:rFonts w:ascii="Times New Roman" w:hAnsi="Times New Roman" w:cs="Times New Roman"/>
          <w:color w:val="000000" w:themeColor="text1"/>
          <w:sz w:val="28"/>
          <w:szCs w:val="28"/>
          <w:lang w:val="uk-UA"/>
        </w:rPr>
        <w:t xml:space="preserve">, тому числі по 1 представнику з філій</w:t>
      </w:r>
      <w:r>
        <w:rPr>
          <w:rFonts w:ascii="Times New Roman" w:hAnsi="Times New Roman" w:cs="Times New Roman"/>
          <w:color w:val="000000" w:themeColor="text1"/>
          <w:sz w:val="28"/>
          <w:szCs w:val="28"/>
          <w:lang w:val="uk-UA"/>
        </w:rPr>
        <w:t xml:space="preserve">;</w:t>
      </w:r>
      <w:r/>
    </w:p>
    <w:p>
      <w:pPr>
        <w:ind w:firstLine="567"/>
        <w:jc w:val="both"/>
        <w:spacing w:lineRule="auto" w:line="240" w:after="0"/>
        <w:rPr>
          <w:rFonts w:ascii="Times New Roman" w:hAnsi="Times New Roman" w:cs="Times New Roman"/>
          <w:color w:val="000000"/>
          <w:sz w:val="28"/>
          <w:szCs w:val="28"/>
          <w:lang w:val="uk-UA"/>
        </w:rPr>
      </w:pPr>
      <w:r>
        <w:rPr>
          <w:rFonts w:ascii="Times New Roman" w:hAnsi="Times New Roman" w:cs="Times New Roman"/>
          <w:sz w:val="28"/>
          <w:szCs w:val="28"/>
          <w:lang w:val="uk-UA"/>
        </w:rPr>
        <w:t xml:space="preserve"> - учнів 8</w:t>
      </w:r>
      <w:r>
        <w:rPr>
          <w:rFonts w:ascii="Times New Roman" w:hAnsi="Times New Roman" w:cs="Times New Roman"/>
          <w:sz w:val="28"/>
          <w:szCs w:val="28"/>
          <w:lang w:val="uk-UA"/>
        </w:rPr>
        <w:t xml:space="preserve">-1</w:t>
      </w:r>
      <w:r>
        <w:rPr>
          <w:rFonts w:ascii="Times New Roman" w:hAnsi="Times New Roman" w:cs="Times New Roman"/>
          <w:sz w:val="28"/>
          <w:szCs w:val="28"/>
          <w:lang w:val="uk-UA"/>
        </w:rPr>
        <w:t xml:space="preserve">2</w:t>
      </w:r>
      <w:r>
        <w:rPr>
          <w:rFonts w:ascii="Times New Roman" w:hAnsi="Times New Roman" w:cs="Times New Roman"/>
          <w:sz w:val="28"/>
          <w:szCs w:val="28"/>
          <w:lang w:val="uk-UA"/>
        </w:rPr>
        <w:t xml:space="preserve"> класів – класними зборами у кількості –  </w:t>
      </w:r>
      <w:r>
        <w:rPr>
          <w:rFonts w:ascii="Times New Roman" w:hAnsi="Times New Roman" w:cs="Times New Roman"/>
          <w:color w:val="000000" w:themeColor="text1"/>
          <w:sz w:val="28"/>
          <w:szCs w:val="28"/>
          <w:lang w:val="uk-UA"/>
        </w:rPr>
        <w:t xml:space="preserve">5</w:t>
      </w:r>
      <w:r>
        <w:rPr>
          <w:rFonts w:ascii="Times New Roman" w:hAnsi="Times New Roman" w:cs="Times New Roman"/>
          <w:color w:val="000000" w:themeColor="text1"/>
          <w:sz w:val="28"/>
          <w:szCs w:val="28"/>
          <w:lang w:val="uk-UA"/>
        </w:rPr>
        <w:t xml:space="preserve"> ос</w:t>
      </w:r>
      <w:r>
        <w:rPr>
          <w:rFonts w:ascii="Times New Roman" w:hAnsi="Times New Roman" w:cs="Times New Roman"/>
          <w:color w:val="000000" w:themeColor="text1"/>
          <w:sz w:val="28"/>
          <w:szCs w:val="28"/>
          <w:lang w:val="uk-UA"/>
        </w:rPr>
        <w:t xml:space="preserve">о</w:t>
      </w:r>
      <w:r>
        <w:rPr>
          <w:rFonts w:ascii="Times New Roman" w:hAnsi="Times New Roman" w:cs="Times New Roman"/>
          <w:color w:val="000000" w:themeColor="text1"/>
          <w:sz w:val="28"/>
          <w:szCs w:val="28"/>
          <w:lang w:val="uk-UA"/>
        </w:rPr>
        <w:t xml:space="preserve">б</w:t>
      </w:r>
      <w:r>
        <w:rPr>
          <w:rFonts w:ascii="Times New Roman" w:hAnsi="Times New Roman" w:cs="Times New Roman"/>
          <w:color w:val="000000" w:themeColor="text1"/>
          <w:sz w:val="28"/>
          <w:szCs w:val="28"/>
          <w:lang w:val="uk-UA"/>
        </w:rPr>
        <w:t xml:space="preserve">и</w:t>
      </w:r>
      <w:r>
        <w:rPr>
          <w:rFonts w:ascii="Times New Roman" w:hAnsi="Times New Roman" w:cs="Times New Roman"/>
          <w:color w:val="000000" w:themeColor="text1"/>
          <w:sz w:val="28"/>
          <w:szCs w:val="28"/>
          <w:lang w:val="uk-UA"/>
        </w:rPr>
        <w:t xml:space="preserve">;</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батьків учнів 1-12</w:t>
      </w:r>
      <w:r>
        <w:rPr>
          <w:rFonts w:ascii="Times New Roman" w:hAnsi="Times New Roman" w:cs="Times New Roman"/>
          <w:sz w:val="28"/>
          <w:szCs w:val="28"/>
          <w:lang w:val="uk-UA"/>
        </w:rPr>
        <w:t xml:space="preserve"> класів – класними батьківськими зборами у кількості – </w:t>
      </w:r>
      <w:r>
        <w:rPr>
          <w:rFonts w:ascii="Times New Roman" w:hAnsi="Times New Roman" w:cs="Times New Roman"/>
          <w:color w:val="000000" w:themeColor="text1"/>
          <w:sz w:val="28"/>
          <w:szCs w:val="28"/>
          <w:lang w:val="uk-UA"/>
        </w:rPr>
        <w:t xml:space="preserve">8</w:t>
      </w:r>
      <w:r>
        <w:rPr>
          <w:rFonts w:ascii="Times New Roman" w:hAnsi="Times New Roman" w:cs="Times New Roman"/>
          <w:color w:val="000000" w:themeColor="text1"/>
          <w:sz w:val="28"/>
          <w:szCs w:val="28"/>
          <w:lang w:val="uk-UA"/>
        </w:rPr>
        <w:t xml:space="preserve"> осіб</w:t>
      </w:r>
      <w:r>
        <w:rPr>
          <w:rFonts w:ascii="Times New Roman" w:hAnsi="Times New Roman" w:cs="Times New Roman"/>
          <w:sz w:val="28"/>
          <w:szCs w:val="28"/>
          <w:lang w:val="uk-UA"/>
        </w:rPr>
        <w:t xml:space="preserve">.</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Колегіальний орган громадського самоврядування закладу освіти складається з </w:t>
      </w:r>
      <w:r>
        <w:rPr>
          <w:rFonts w:ascii="Times New Roman" w:hAnsi="Times New Roman" w:cs="Times New Roman"/>
          <w:color w:val="000000" w:themeColor="text1"/>
          <w:sz w:val="28"/>
          <w:szCs w:val="28"/>
          <w:lang w:val="uk-UA"/>
        </w:rPr>
        <w:t xml:space="preserve">21 делегата</w:t>
      </w:r>
      <w:r>
        <w:rPr>
          <w:rFonts w:ascii="Times New Roman" w:hAnsi="Times New Roman" w:cs="Times New Roman"/>
          <w:color w:val="000000" w:themeColor="text1"/>
          <w:sz w:val="28"/>
          <w:szCs w:val="28"/>
          <w:lang w:val="uk-UA"/>
        </w:rPr>
        <w:t xml:space="preserve">.</w:t>
      </w:r>
      <w:r>
        <w:rPr>
          <w:rFonts w:ascii="Times New Roman" w:hAnsi="Times New Roman" w:cs="Times New Roman"/>
          <w:sz w:val="28"/>
          <w:szCs w:val="28"/>
          <w:lang w:val="uk-UA"/>
        </w:rPr>
        <w:t xml:space="preserve">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5.14. </w:t>
      </w:r>
      <w:r>
        <w:rPr>
          <w:rFonts w:ascii="Times New Roman" w:hAnsi="Times New Roman" w:cs="Times New Roman"/>
          <w:sz w:val="28"/>
          <w:szCs w:val="28"/>
          <w:lang w:val="uk-UA"/>
        </w:rPr>
        <w:t xml:space="preserve">Загальні збори (конференція) правочинні, якщо в їхній роботі бере участь не менше половини делегатів. Рішення приймається простою більшістю голосів присутніх делегатів. Термін їх повноважень становить один рік.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15</w:t>
      </w:r>
      <w:r>
        <w:rPr>
          <w:rFonts w:ascii="Times New Roman" w:hAnsi="Times New Roman" w:cs="Times New Roman"/>
          <w:sz w:val="28"/>
          <w:szCs w:val="28"/>
          <w:lang w:val="uk-UA"/>
        </w:rPr>
        <w:t xml:space="preserve">. Інформація про час і місце проведення загальних зборів (конференції) колективу закладу освіти розміщується в закладі освіти та оприлюднюється на офі</w:t>
      </w:r>
      <w:r>
        <w:rPr>
          <w:rFonts w:ascii="Times New Roman" w:hAnsi="Times New Roman" w:cs="Times New Roman"/>
          <w:sz w:val="28"/>
          <w:szCs w:val="28"/>
          <w:lang w:val="uk-UA"/>
        </w:rPr>
        <w:t xml:space="preserve">ційному веб-сайті закладу освіти</w:t>
      </w:r>
      <w:r>
        <w:rPr>
          <w:rFonts w:ascii="Times New Roman" w:hAnsi="Times New Roman" w:cs="Times New Roman"/>
          <w:sz w:val="28"/>
          <w:szCs w:val="28"/>
          <w:lang w:val="uk-UA"/>
        </w:rPr>
        <w:t xml:space="preserve">/на </w:t>
      </w:r>
      <w:r>
        <w:rPr>
          <w:rFonts w:ascii="Times New Roman" w:hAnsi="Times New Roman" w:cs="Times New Roman"/>
          <w:sz w:val="28"/>
          <w:szCs w:val="28"/>
          <w:lang w:val="uk-UA"/>
        </w:rPr>
        <w:t xml:space="preserve">іншій сторінці закладу</w:t>
      </w:r>
      <w:r>
        <w:rPr>
          <w:rFonts w:ascii="Times New Roman" w:hAnsi="Times New Roman" w:cs="Times New Roman"/>
          <w:sz w:val="28"/>
          <w:szCs w:val="28"/>
          <w:lang w:val="uk-UA"/>
        </w:rPr>
        <w:t xml:space="preserve"> не пізніше ніж за один місяць до дня їх проведення.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16</w:t>
      </w:r>
      <w:r>
        <w:rPr>
          <w:rFonts w:ascii="Times New Roman" w:hAnsi="Times New Roman" w:cs="Times New Roman"/>
          <w:sz w:val="28"/>
          <w:szCs w:val="28"/>
          <w:lang w:val="uk-UA"/>
        </w:rPr>
        <w:t xml:space="preserve">. Загальні збори (конференція)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погоджують стратегію (програму) розвитку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щороку заслуховують звіт керівника закладу освіти, оцінюють його діяльність і за результатами оцінки можуть ініціювати проведення позапланового інституційного аудиту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розглядають питання освітньої, методичної, фінансово-господарської діяльності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приймають рішення про стимулювання праці керівників та інших працівників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5.17. </w:t>
      </w:r>
      <w:r>
        <w:rPr>
          <w:rFonts w:ascii="Times New Roman" w:hAnsi="Times New Roman" w:cs="Times New Roman"/>
          <w:sz w:val="28"/>
          <w:szCs w:val="28"/>
          <w:lang w:val="uk-UA"/>
        </w:rPr>
        <w:t xml:space="preserve">У закладі освіти діє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18</w:t>
      </w:r>
      <w:r>
        <w:rPr>
          <w:rFonts w:ascii="Times New Roman" w:hAnsi="Times New Roman" w:cs="Times New Roman"/>
          <w:sz w:val="28"/>
          <w:szCs w:val="28"/>
          <w:lang w:val="uk-UA"/>
        </w:rPr>
        <w:t xml:space="preserve">. Учнівське самоврядування здійснюється учнями безпосередньо і через органи учнівського самоврядування.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19</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Здобувачі освіти</w:t>
      </w:r>
      <w:r>
        <w:rPr>
          <w:rFonts w:ascii="Times New Roman" w:hAnsi="Times New Roman" w:cs="Times New Roman"/>
          <w:sz w:val="28"/>
          <w:szCs w:val="28"/>
          <w:lang w:val="uk-UA"/>
        </w:rPr>
        <w:t xml:space="preserve"> мають рівні права на участь в учнівському с</w:t>
      </w:r>
      <w:r>
        <w:rPr>
          <w:rFonts w:ascii="Times New Roman" w:hAnsi="Times New Roman" w:cs="Times New Roman"/>
          <w:sz w:val="28"/>
          <w:szCs w:val="28"/>
          <w:lang w:val="uk-UA"/>
        </w:rPr>
        <w:t xml:space="preserve">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право вільно обирати та бути обраними до виборних органів учнівського самоврядування.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20</w:t>
      </w:r>
      <w:r>
        <w:rPr>
          <w:rFonts w:ascii="Times New Roman" w:hAnsi="Times New Roman" w:cs="Times New Roman"/>
          <w:sz w:val="28"/>
          <w:szCs w:val="28"/>
          <w:lang w:val="uk-UA"/>
        </w:rPr>
        <w:t xml:space="preserve">. Учнівське самоврядування може діяти на рівні закладу освіти та окремих класів.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21</w:t>
      </w:r>
      <w:r>
        <w:rPr>
          <w:rFonts w:ascii="Times New Roman" w:hAnsi="Times New Roman" w:cs="Times New Roman"/>
          <w:sz w:val="28"/>
          <w:szCs w:val="28"/>
          <w:lang w:val="uk-UA"/>
        </w:rPr>
        <w:t xml:space="preserve">. Органи учнівського самоврядування утворюються за ініціативою </w:t>
      </w:r>
      <w:r>
        <w:rPr>
          <w:rFonts w:ascii="Times New Roman" w:hAnsi="Times New Roman" w:cs="Times New Roman"/>
          <w:sz w:val="28"/>
          <w:szCs w:val="28"/>
          <w:lang w:val="uk-UA"/>
        </w:rPr>
        <w:t xml:space="preserve">здобувачів освіти</w:t>
      </w:r>
      <w:r>
        <w:rPr>
          <w:rFonts w:ascii="Times New Roman" w:hAnsi="Times New Roman" w:cs="Times New Roman"/>
          <w:sz w:val="28"/>
          <w:szCs w:val="28"/>
          <w:lang w:val="uk-UA"/>
        </w:rPr>
        <w:t xml:space="preserve"> та можуть бути одноособовими, колегіальними, а також можуть мати різноманітні форми і назви.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22</w:t>
      </w:r>
      <w:r>
        <w:rPr>
          <w:rFonts w:ascii="Times New Roman" w:hAnsi="Times New Roman" w:cs="Times New Roman"/>
          <w:sz w:val="28"/>
          <w:szCs w:val="28"/>
          <w:lang w:val="uk-UA"/>
        </w:rPr>
        <w:t xml:space="preserve">. Керівник закладу освіти сприяє та створює умови для діяльності органів учнівського самоврядування.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23</w:t>
      </w:r>
      <w:r>
        <w:rPr>
          <w:rFonts w:ascii="Times New Roman" w:hAnsi="Times New Roman" w:cs="Times New Roman"/>
          <w:sz w:val="28"/>
          <w:szCs w:val="28"/>
          <w:lang w:val="uk-UA"/>
        </w:rPr>
        <w:t xml:space="preserve">. Інші учасники освітнього процесу не повинні перешкоджати і втручатися в діяльність органів учнівського самоврядування.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24</w:t>
      </w:r>
      <w:r>
        <w:rPr>
          <w:rFonts w:ascii="Times New Roman" w:hAnsi="Times New Roman" w:cs="Times New Roman"/>
          <w:sz w:val="28"/>
          <w:szCs w:val="28"/>
          <w:lang w:val="uk-UA"/>
        </w:rPr>
        <w:t xml:space="preserve">. З питань захисту честі, гідності та/або прав </w:t>
      </w:r>
      <w:r>
        <w:rPr>
          <w:rFonts w:ascii="Times New Roman" w:hAnsi="Times New Roman" w:cs="Times New Roman"/>
          <w:sz w:val="28"/>
          <w:szCs w:val="28"/>
          <w:lang w:val="uk-UA"/>
        </w:rPr>
        <w:t xml:space="preserve">здобувачів освіти</w:t>
      </w:r>
      <w:r>
        <w:rPr>
          <w:rFonts w:ascii="Times New Roman" w:hAnsi="Times New Roman" w:cs="Times New Roman"/>
          <w:sz w:val="28"/>
          <w:szCs w:val="28"/>
          <w:lang w:val="uk-UA"/>
        </w:rPr>
        <w:t xml:space="preserve"> закладу освіти керівник учнівського самоврядування має право на невідкладний прийом керівником закладу освіти. Керівник закладу</w:t>
      </w:r>
      <w:r>
        <w:rPr>
          <w:rFonts w:ascii="Times New Roman" w:hAnsi="Times New Roman" w:cs="Times New Roman"/>
          <w:sz w:val="28"/>
          <w:szCs w:val="28"/>
          <w:lang w:val="uk-UA"/>
        </w:rPr>
        <w:t xml:space="preserve"> освіти зобов’язаний розглянути усну чи письмову вимогу керівника учнівського самоврядування про усунення порушень щодо честі, гідності чи прав учня (учнів) закладу освіти та вжити заходів відповідно до правил внутрішнього розпорядку та/або законодавства.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25</w:t>
      </w:r>
      <w:r>
        <w:rPr>
          <w:rFonts w:ascii="Times New Roman" w:hAnsi="Times New Roman" w:cs="Times New Roman"/>
          <w:sz w:val="28"/>
          <w:szCs w:val="28"/>
          <w:lang w:val="uk-UA"/>
        </w:rPr>
        <w:t xml:space="preserve">. Органи учнівського самоврядування можуть але не зобов’язані вести протоколи чи будь-які інші документи щодо своєї діяльності.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26</w:t>
      </w:r>
      <w:r>
        <w:rPr>
          <w:rFonts w:ascii="Times New Roman" w:hAnsi="Times New Roman" w:cs="Times New Roman"/>
          <w:sz w:val="28"/>
          <w:szCs w:val="28"/>
          <w:lang w:val="uk-UA"/>
        </w:rPr>
        <w:t xml:space="preserve">. Органи учнівського самоврядування мають право:</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проводити за погодженням з керівником закладу освіти організаційні, просвітницькі, наукові, спортивні, оздоровчі та інші заходи та/або ініціювати їх проведення перед керівництвом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брати участь у заходах (процесах) із забезпечення якості освіти відповідно до процедур внутрішньої системи забезпечення якості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захищати права та інтереси </w:t>
      </w:r>
      <w:r>
        <w:rPr>
          <w:rFonts w:ascii="Times New Roman" w:hAnsi="Times New Roman" w:cs="Times New Roman"/>
          <w:sz w:val="28"/>
          <w:szCs w:val="28"/>
          <w:lang w:val="uk-UA"/>
        </w:rPr>
        <w:t xml:space="preserve">здобувачів освіти</w:t>
      </w:r>
      <w:r>
        <w:rPr>
          <w:rFonts w:ascii="Times New Roman" w:hAnsi="Times New Roman" w:cs="Times New Roman"/>
          <w:sz w:val="28"/>
          <w:szCs w:val="28"/>
          <w:lang w:val="uk-UA"/>
        </w:rPr>
        <w:t xml:space="preserve">, які здобувають освіту у цьому закладі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вносити пропозиції та/або брати участь у розробленні та/або обговоренні плану роботи закладу освіти, змісту освітніх і навчальних програм;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через своїх представників брати участь у засіданнях педагогічної ради з усіх питань, що стосуються організації та реалізації освітнього процесу.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27</w:t>
      </w:r>
      <w:r>
        <w:rPr>
          <w:rFonts w:ascii="Times New Roman" w:hAnsi="Times New Roman" w:cs="Times New Roman"/>
          <w:sz w:val="28"/>
          <w:szCs w:val="28"/>
          <w:lang w:val="uk-UA"/>
        </w:rPr>
        <w:t xml:space="preserve">. Засади учнівського самоврядування визначаються Законом «Про повну загальну середню освіту» та положенням про учнівське самоврядування закладу освіти, що затверджується загальними зборами уповноважених представників класів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5.28.</w:t>
      </w:r>
      <w:r>
        <w:rPr>
          <w:rFonts w:ascii="Times New Roman" w:hAnsi="Times New Roman" w:cs="Times New Roman"/>
          <w:sz w:val="28"/>
          <w:szCs w:val="28"/>
          <w:lang w:val="uk-UA"/>
        </w:rPr>
        <w:t xml:space="preserve"> Вищим органом громадського самоврядування працівників закладу освіти є загальні збори трудового колективу закладу освіти. Порядок та періодичність скликання (не мен</w:t>
      </w:r>
      <w:r>
        <w:rPr>
          <w:rFonts w:ascii="Times New Roman" w:hAnsi="Times New Roman" w:cs="Times New Roman"/>
          <w:sz w:val="28"/>
          <w:szCs w:val="28"/>
          <w:lang w:val="uk-UA"/>
        </w:rPr>
        <w:t xml:space="preserve">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цим статутом і колективним трудовим договором (за наявності)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29</w:t>
      </w:r>
      <w:r>
        <w:rPr>
          <w:rFonts w:ascii="Times New Roman" w:hAnsi="Times New Roman" w:cs="Times New Roman"/>
          <w:sz w:val="28"/>
          <w:szCs w:val="28"/>
          <w:lang w:val="uk-UA"/>
        </w:rPr>
        <w:t xml:space="preserve">. Загальні збори трудового колективу: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розглядають та схвалюють проект колективного договору;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затверджують правила внутрішнього трудового розпорядку;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визначають порядок обрання, чисельність, склад і строк повнов</w:t>
      </w:r>
      <w:r>
        <w:rPr>
          <w:rFonts w:ascii="Times New Roman" w:hAnsi="Times New Roman" w:cs="Times New Roman"/>
          <w:sz w:val="28"/>
          <w:szCs w:val="28"/>
          <w:lang w:val="uk-UA"/>
        </w:rPr>
        <w:t xml:space="preserve">ажень комісії з трудових спорів,</w:t>
      </w:r>
      <w:r>
        <w:rPr>
          <w:rFonts w:ascii="Times New Roman" w:hAnsi="Times New Roman" w:cs="Times New Roman"/>
          <w:sz w:val="28"/>
          <w:szCs w:val="28"/>
          <w:lang w:val="uk-UA"/>
        </w:rPr>
        <w:t xml:space="preserve"> обирають комісію з трудових спорів;</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можуть утворювати комісію з питань охорони праці та здійснювати інші повноваження, визначені законодавством.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30</w:t>
      </w:r>
      <w:r>
        <w:rPr>
          <w:rFonts w:ascii="Times New Roman" w:hAnsi="Times New Roman" w:cs="Times New Roman"/>
          <w:sz w:val="28"/>
          <w:szCs w:val="28"/>
          <w:lang w:val="uk-UA"/>
        </w:rPr>
        <w:t xml:space="preserve">. Рішення загальних зборів трудового колективу підписують головуючий на засіданні та секретар. Рішення загальних зборів трудового колективу, прийняті у межах їх повноважень, є обов’язковими до виконання всіма працівниками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5.30.</w:t>
      </w:r>
      <w:r>
        <w:rPr>
          <w:rFonts w:ascii="Times New Roman" w:hAnsi="Times New Roman" w:cs="Times New Roman"/>
          <w:sz w:val="28"/>
          <w:szCs w:val="28"/>
          <w:lang w:val="uk-UA"/>
        </w:rPr>
        <w:t xml:space="preserve"> Батьківське самоврядування здійснюється батьками </w:t>
      </w:r>
      <w:r>
        <w:rPr>
          <w:rFonts w:ascii="Times New Roman" w:hAnsi="Times New Roman" w:cs="Times New Roman"/>
          <w:sz w:val="28"/>
          <w:szCs w:val="28"/>
          <w:lang w:val="uk-UA"/>
        </w:rPr>
        <w:t xml:space="preserve">здобувачів освіти</w:t>
      </w:r>
      <w:r>
        <w:rPr>
          <w:rFonts w:ascii="Times New Roman" w:hAnsi="Times New Roman" w:cs="Times New Roman"/>
          <w:sz w:val="28"/>
          <w:szCs w:val="28"/>
          <w:lang w:val="uk-UA"/>
        </w:rPr>
        <w:t xml:space="preserve"> як безпосередньо, так і через органи батьківського самоврядування, з метою захисту пр</w:t>
      </w:r>
      <w:r>
        <w:rPr>
          <w:rFonts w:ascii="Times New Roman" w:hAnsi="Times New Roman" w:cs="Times New Roman"/>
          <w:sz w:val="28"/>
          <w:szCs w:val="28"/>
          <w:lang w:val="uk-UA"/>
        </w:rPr>
        <w:t xml:space="preserve">ав та інтересів учнів, організації їх дозвілля та оздоровлення, громадського нагляду (контролю) в межах повноважень, визначених освітнім законодавством, цим Статутом та положенням про батьківське самоврядування закладу освіти, що затверджується загальними </w:t>
      </w:r>
      <w:r>
        <w:rPr>
          <w:rFonts w:ascii="Times New Roman" w:hAnsi="Times New Roman" w:cs="Times New Roman"/>
          <w:sz w:val="28"/>
          <w:szCs w:val="28"/>
          <w:lang w:val="uk-UA"/>
        </w:rPr>
        <w:t xml:space="preserve">зборами уповноважених представників батьків кожного з класів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31</w:t>
      </w:r>
      <w:r>
        <w:rPr>
          <w:rFonts w:ascii="Times New Roman" w:hAnsi="Times New Roman" w:cs="Times New Roman"/>
          <w:sz w:val="28"/>
          <w:szCs w:val="28"/>
          <w:lang w:val="uk-UA"/>
        </w:rPr>
        <w:t xml:space="preserve">. Батьки мають право:</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утворювати різні органи батьківського самоврядування (в межах класу, закладу освіти, за інтересами тощо);</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розглядати будь-які питання і приймати рішення, крім тих, що належать до компетенції інших органів управління чи органів громадського самоврядування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5.32</w:t>
      </w:r>
      <w:r>
        <w:rPr>
          <w:rFonts w:ascii="Times New Roman" w:hAnsi="Times New Roman" w:cs="Times New Roman"/>
          <w:sz w:val="28"/>
          <w:szCs w:val="28"/>
          <w:lang w:val="uk-UA"/>
        </w:rPr>
        <w:t xml:space="preserve">. Рішення органу батьківського самоврядування виконується батьками виключно на добровільних засадах.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33</w:t>
      </w:r>
      <w:r>
        <w:rPr>
          <w:rFonts w:ascii="Times New Roman" w:hAnsi="Times New Roman" w:cs="Times New Roman"/>
          <w:sz w:val="28"/>
          <w:szCs w:val="28"/>
          <w:lang w:val="uk-UA"/>
        </w:rPr>
        <w:t xml:space="preserve">. 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керівника закладу освіти, якщо таке рішення не суперечить законодавству.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34</w:t>
      </w:r>
      <w:r>
        <w:rPr>
          <w:rFonts w:ascii="Times New Roman" w:hAnsi="Times New Roman" w:cs="Times New Roman"/>
          <w:sz w:val="28"/>
          <w:szCs w:val="28"/>
          <w:lang w:val="uk-UA"/>
        </w:rPr>
        <w:t xml:space="preserve">. Рішення, заходи та форми батьківського самоврядування </w:t>
      </w:r>
      <w:r>
        <w:rPr>
          <w:rFonts w:ascii="Times New Roman" w:hAnsi="Times New Roman" w:cs="Times New Roman"/>
          <w:sz w:val="28"/>
          <w:szCs w:val="28"/>
          <w:lang w:val="uk-UA"/>
        </w:rPr>
        <w:t xml:space="preserve">не повинні призводити до надання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35</w:t>
      </w:r>
      <w:r>
        <w:rPr>
          <w:rFonts w:ascii="Times New Roman" w:hAnsi="Times New Roman" w:cs="Times New Roman"/>
          <w:sz w:val="28"/>
          <w:szCs w:val="28"/>
          <w:lang w:val="uk-UA"/>
        </w:rPr>
        <w:t xml:space="preserve">. Органи батьківського самоврядування мають </w:t>
      </w:r>
      <w:r>
        <w:rPr>
          <w:rFonts w:ascii="Times New Roman" w:hAnsi="Times New Roman" w:cs="Times New Roman"/>
          <w:sz w:val="28"/>
          <w:szCs w:val="28"/>
          <w:lang w:val="uk-UA"/>
        </w:rPr>
        <w:t xml:space="preserve">право, але не зобов’язані оформляти свої рішення відповідними протоколами. Працівники закладу освіти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5.36</w:t>
      </w:r>
      <w:r>
        <w:rPr>
          <w:rFonts w:ascii="Times New Roman" w:hAnsi="Times New Roman" w:cs="Times New Roman"/>
          <w:sz w:val="28"/>
          <w:szCs w:val="28"/>
          <w:lang w:val="uk-UA"/>
        </w:rPr>
        <w:t xml:space="preserve">. Піклувальна рада сприяє виконанню перспективних завдань розвитку закладу, залученню фінансо</w:t>
      </w:r>
      <w:r>
        <w:rPr>
          <w:rFonts w:ascii="Times New Roman" w:hAnsi="Times New Roman" w:cs="Times New Roman"/>
          <w:sz w:val="28"/>
          <w:szCs w:val="28"/>
          <w:lang w:val="uk-UA"/>
        </w:rPr>
        <w:t xml:space="preserve">вих ресурсів для забезпечення його діяльності з основних напрямів розвитку і здійсненню контролю за їх використанням, ефективній взаємодії закладу з органами державної влади та органами місцевого самоврядування, громадськістю, громадськими об’єднаннями, юр</w:t>
      </w:r>
      <w:r>
        <w:rPr>
          <w:rFonts w:ascii="Times New Roman" w:hAnsi="Times New Roman" w:cs="Times New Roman"/>
          <w:sz w:val="28"/>
          <w:szCs w:val="28"/>
          <w:lang w:val="uk-UA"/>
        </w:rPr>
        <w:t xml:space="preserve">идичними та фізичними особами. </w:t>
      </w:r>
      <w:r>
        <w:rPr>
          <w:rFonts w:ascii="Times New Roman" w:hAnsi="Times New Roman" w:cs="Times New Roman"/>
          <w:sz w:val="28"/>
          <w:szCs w:val="28"/>
          <w:lang w:val="uk-UA"/>
        </w:rPr>
        <w:t xml:space="preserve">Піклувальна рада створюється за рішенням Засновника. </w:t>
      </w:r>
      <w:r>
        <w:rPr>
          <w:rFonts w:ascii="Times New Roman" w:hAnsi="Times New Roman" w:cs="Times New Roman"/>
          <w:sz w:val="28"/>
          <w:szCs w:val="28"/>
          <w:shd w:val="clear" w:fill="FFFFFF" w:color="auto"/>
        </w:rPr>
        <w:t xml:space="preserve">Порядок формування піклувальної ради, її відповідальність, перелік і строк повноважень, а також порядок її діяльності визначаються спеціальними законами та </w:t>
      </w:r>
      <w:r>
        <w:rPr>
          <w:rFonts w:ascii="Times New Roman" w:hAnsi="Times New Roman" w:cs="Times New Roman"/>
          <w:sz w:val="28"/>
          <w:szCs w:val="28"/>
          <w:shd w:val="clear" w:fill="FFFFFF" w:color="auto"/>
          <w:lang w:val="uk-UA"/>
        </w:rPr>
        <w:t xml:space="preserve">цим Статутом.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37</w:t>
      </w:r>
      <w:r>
        <w:rPr>
          <w:rFonts w:ascii="Times New Roman" w:hAnsi="Times New Roman" w:cs="Times New Roman"/>
          <w:sz w:val="28"/>
          <w:szCs w:val="28"/>
          <w:lang w:val="uk-UA"/>
        </w:rPr>
        <w:t xml:space="preserve">. Піклувальна рада: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аналізує та оцінює діяльність закладу освіти і його керівника;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розробляє пропозиції до стратегії та перспективного плану розвитку закладу загальної середньої освіти та аналізує стан їх виконання;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сприяє залученню додаткових джерел фінансування, що не заборонені законом;</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може ініціювати проведення позапланового інституційного аудиту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5.</w:t>
      </w:r>
      <w:r>
        <w:rPr>
          <w:rFonts w:ascii="Times New Roman" w:hAnsi="Times New Roman" w:cs="Times New Roman"/>
          <w:sz w:val="28"/>
          <w:szCs w:val="28"/>
          <w:lang w:val="uk-UA"/>
        </w:rPr>
        <w:t xml:space="preserve">38</w:t>
      </w:r>
      <w:r>
        <w:rPr>
          <w:rFonts w:ascii="Times New Roman" w:hAnsi="Times New Roman" w:cs="Times New Roman"/>
          <w:sz w:val="28"/>
          <w:szCs w:val="28"/>
          <w:lang w:val="uk-UA"/>
        </w:rPr>
        <w:t xml:space="preserve">. 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VІ. Прозорість та інформаційна відкритість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6.1.</w:t>
      </w:r>
      <w:r>
        <w:rPr>
          <w:rFonts w:ascii="Times New Roman" w:hAnsi="Times New Roman" w:cs="Times New Roman"/>
          <w:sz w:val="28"/>
          <w:szCs w:val="28"/>
          <w:lang w:val="uk-UA"/>
        </w:rPr>
        <w:t xml:space="preserve"> Заклад освіти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6.2. Заклад освіти забезпечує на офіційному веб-сайті закладу/ </w:t>
      </w:r>
      <w:r>
        <w:rPr>
          <w:rFonts w:ascii="Times New Roman" w:hAnsi="Times New Roman" w:cs="Times New Roman"/>
          <w:sz w:val="28"/>
          <w:szCs w:val="28"/>
          <w:lang w:val="uk-UA"/>
        </w:rPr>
        <w:t xml:space="preserve">інформаційній </w:t>
      </w:r>
      <w:r>
        <w:rPr>
          <w:rFonts w:ascii="Times New Roman" w:hAnsi="Times New Roman" w:cs="Times New Roman"/>
          <w:sz w:val="28"/>
          <w:szCs w:val="28"/>
          <w:lang w:val="uk-UA"/>
        </w:rPr>
        <w:t xml:space="preserve">сторінці </w:t>
      </w:r>
      <w:r>
        <w:rPr>
          <w:rFonts w:ascii="Times New Roman" w:hAnsi="Times New Roman" w:cs="Times New Roman"/>
          <w:sz w:val="28"/>
          <w:szCs w:val="28"/>
          <w:lang w:val="uk-UA"/>
        </w:rPr>
        <w:t xml:space="preserve">закладу на інших ресурсах/ сторінці </w:t>
      </w:r>
      <w:r>
        <w:rPr>
          <w:rFonts w:ascii="Times New Roman" w:hAnsi="Times New Roman" w:cs="Times New Roman"/>
          <w:sz w:val="28"/>
          <w:szCs w:val="28"/>
          <w:lang w:val="uk-UA"/>
        </w:rPr>
        <w:t xml:space="preserve">веб-сайту </w:t>
      </w:r>
      <w:r>
        <w:rPr>
          <w:rFonts w:ascii="Times New Roman" w:hAnsi="Times New Roman" w:cs="Times New Roman"/>
          <w:sz w:val="28"/>
          <w:szCs w:val="28"/>
          <w:lang w:val="uk-UA"/>
        </w:rPr>
        <w:t xml:space="preserve">відділу освіти міської ради</w:t>
      </w:r>
      <w:r>
        <w:rPr>
          <w:rFonts w:ascii="Times New Roman" w:hAnsi="Times New Roman" w:cs="Times New Roman"/>
          <w:sz w:val="28"/>
          <w:szCs w:val="28"/>
          <w:lang w:val="uk-UA"/>
        </w:rPr>
        <w:t xml:space="preserve"> відкритий доступ до інформації про свою діяльність та документі</w:t>
      </w:r>
      <w:r>
        <w:rPr>
          <w:rFonts w:ascii="Times New Roman" w:hAnsi="Times New Roman" w:cs="Times New Roman"/>
          <w:sz w:val="28"/>
          <w:szCs w:val="28"/>
          <w:lang w:val="uk-UA"/>
        </w:rPr>
        <w:t xml:space="preserve">в (в тому числі філій)</w:t>
      </w:r>
      <w:r>
        <w:rPr>
          <w:rFonts w:ascii="Times New Roman" w:hAnsi="Times New Roman" w:cs="Times New Roman"/>
          <w:sz w:val="28"/>
          <w:szCs w:val="28"/>
          <w:lang w:val="uk-UA"/>
        </w:rPr>
        <w:t xml:space="preserve">, зокрема до:</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Статуту</w:t>
      </w:r>
      <w:r>
        <w:rPr>
          <w:rFonts w:ascii="Times New Roman" w:hAnsi="Times New Roman" w:cs="Times New Roman"/>
          <w:sz w:val="28"/>
          <w:szCs w:val="28"/>
          <w:lang w:val="uk-UA"/>
        </w:rPr>
        <w:t xml:space="preserve"> та положень про філії закладу освіти</w:t>
      </w:r>
      <w:r>
        <w:rPr>
          <w:rFonts w:ascii="Times New Roman" w:hAnsi="Times New Roman" w:cs="Times New Roman"/>
          <w:sz w:val="28"/>
          <w:szCs w:val="28"/>
          <w:lang w:val="uk-UA"/>
        </w:rPr>
        <w:t xml:space="preserve">;</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ліцензії на провадження освітньої діяльності;</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кадрового складу закладу освіти згідно з ліцензійними умовами;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освітніх програм, що реалізуються в закладі освіти, та переліку освітніх компонентів, що передбачені відповідною освітньою програмою;</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території обслуговування, закріпленої за закладом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фактичної кількості осіб, які навчаються у закладі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мови (мов) освітнього процесу;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наявності вакантних посад, порядку і умов проведення конкурсу на їх заміщення (у разі його проведення);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матеріально-технічного забезпечення закладу освіти (згідно з ліцензійними умовами);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результатів моніторингу якості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річного звіту про діяльність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правил прийому до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умов доступності закладу освіти для навчання осіб з особливими освітніми потребами;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переліку додаткових освітніх та інших послуг, їх вартості, порядку надання та оплати</w:t>
      </w:r>
      <w:r>
        <w:rPr>
          <w:rFonts w:ascii="Times New Roman" w:hAnsi="Times New Roman" w:cs="Times New Roman"/>
          <w:sz w:val="28"/>
          <w:szCs w:val="28"/>
          <w:lang w:val="uk-UA"/>
        </w:rPr>
        <w:t xml:space="preserve"> (за наявності)</w:t>
      </w:r>
      <w:r>
        <w:rPr>
          <w:rFonts w:ascii="Times New Roman" w:hAnsi="Times New Roman" w:cs="Times New Roman"/>
          <w:sz w:val="28"/>
          <w:szCs w:val="28"/>
          <w:lang w:val="uk-UA"/>
        </w:rPr>
        <w:t xml:space="preserve">;</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правил поведінки здобувача освіти в закладі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плану заходів, спрямованих на запобігання та протидію булінгу (цькуванню) в закладі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порядку подання та розгляду (з дотриманням конфіденційності) заяв про випадки булінгу (цькування) в закладі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порядку реагування на доведені випадки булінгу (цькування) в закладі освіти та відповідальність осіб, причетних до булінгу (цькування).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Інша інформація оприлюднюється за рішенням закладу освіти або на вимогу законодавства.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6</w:t>
      </w:r>
      <w:r>
        <w:rPr>
          <w:rFonts w:ascii="Times New Roman" w:hAnsi="Times New Roman" w:cs="Times New Roman"/>
          <w:sz w:val="28"/>
          <w:szCs w:val="28"/>
          <w:lang w:val="uk-UA"/>
        </w:rPr>
        <w:t xml:space="preserve">.3. Заклад освіти оприлюднює на</w:t>
      </w:r>
      <w:r>
        <w:rPr>
          <w:rFonts w:ascii="Times New Roman" w:hAnsi="Times New Roman" w:cs="Times New Roman"/>
          <w:sz w:val="28"/>
          <w:szCs w:val="28"/>
          <w:lang w:val="uk-UA"/>
        </w:rPr>
        <w:t xml:space="preserve"> офіційному веб-сайті закладу/ </w:t>
      </w:r>
      <w:r>
        <w:rPr>
          <w:rFonts w:ascii="Times New Roman" w:hAnsi="Times New Roman" w:cs="Times New Roman"/>
          <w:sz w:val="28"/>
          <w:szCs w:val="28"/>
          <w:lang w:val="uk-UA"/>
        </w:rPr>
        <w:t xml:space="preserve">інформаційній </w:t>
      </w:r>
      <w:r>
        <w:rPr>
          <w:rFonts w:ascii="Times New Roman" w:hAnsi="Times New Roman" w:cs="Times New Roman"/>
          <w:sz w:val="28"/>
          <w:szCs w:val="28"/>
          <w:lang w:val="uk-UA"/>
        </w:rPr>
        <w:t xml:space="preserve">сторінці </w:t>
      </w:r>
      <w:r>
        <w:rPr>
          <w:rFonts w:ascii="Times New Roman" w:hAnsi="Times New Roman" w:cs="Times New Roman"/>
          <w:sz w:val="28"/>
          <w:szCs w:val="28"/>
          <w:lang w:val="uk-UA"/>
        </w:rPr>
        <w:t xml:space="preserve">закладу на інших ресурсах/ сторінці </w:t>
      </w:r>
      <w:r>
        <w:rPr>
          <w:rFonts w:ascii="Times New Roman" w:hAnsi="Times New Roman" w:cs="Times New Roman"/>
          <w:sz w:val="28"/>
          <w:szCs w:val="28"/>
          <w:lang w:val="uk-UA"/>
        </w:rPr>
        <w:t xml:space="preserve">веб-сайту </w:t>
      </w:r>
      <w:r>
        <w:rPr>
          <w:rFonts w:ascii="Times New Roman" w:hAnsi="Times New Roman" w:cs="Times New Roman"/>
          <w:sz w:val="28"/>
          <w:szCs w:val="28"/>
          <w:lang w:val="uk-UA"/>
        </w:rPr>
        <w:t xml:space="preserve">відділу </w:t>
      </w:r>
      <w:r>
        <w:rPr>
          <w:rFonts w:ascii="Times New Roman" w:hAnsi="Times New Roman" w:cs="Times New Roman"/>
          <w:sz w:val="28"/>
          <w:szCs w:val="28"/>
          <w:lang w:val="uk-UA"/>
        </w:rPr>
        <w:t xml:space="preserve">освіти міської ради</w:t>
      </w: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кошторис і фінансовий звіт пр</w:t>
      </w:r>
      <w:r>
        <w:rPr>
          <w:rFonts w:ascii="Times New Roman" w:hAnsi="Times New Roman" w:cs="Times New Roman"/>
          <w:sz w:val="28"/>
          <w:szCs w:val="28"/>
          <w:lang w:val="uk-UA"/>
        </w:rPr>
        <w:t xml:space="preserve">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Інформац</w:t>
      </w:r>
      <w:r>
        <w:rPr>
          <w:rFonts w:ascii="Times New Roman" w:hAnsi="Times New Roman" w:cs="Times New Roman"/>
          <w:sz w:val="28"/>
          <w:szCs w:val="28"/>
          <w:lang w:val="uk-UA"/>
        </w:rPr>
        <w:t xml:space="preserve">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 </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VІІ. Матеріально-технічна база та фінансово-господарська діяльність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7.1. Матеріально-технічна база закладу освіти включає будівлі, споруди, землю, комунікації, обладнання, транспортні засоби та інші матеріальні цінності.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7.2. Майно, закріплене за закладом освіти, не може бути вилучене, якщо інше не передбачене законодавств</w:t>
      </w:r>
      <w:r>
        <w:rPr>
          <w:rFonts w:ascii="Times New Roman" w:hAnsi="Times New Roman" w:cs="Times New Roman"/>
          <w:sz w:val="28"/>
          <w:szCs w:val="28"/>
          <w:lang w:val="uk-UA"/>
        </w:rPr>
        <w:t xml:space="preserve">ом. </w:t>
      </w:r>
      <w:r>
        <w:rPr>
          <w:rFonts w:ascii="Times New Roman" w:hAnsi="Times New Roman" w:cs="Times New Roman"/>
          <w:sz w:val="28"/>
          <w:szCs w:val="28"/>
          <w:lang w:val="uk-UA"/>
        </w:rPr>
        <w:t xml:space="preserve">Майно, отримане у формі благодійної допомоги, може, за бажанням благодійника,  знаходитись на відповідальному зберіганні.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7.3. Вимоги до матер</w:t>
      </w:r>
      <w:r>
        <w:rPr>
          <w:rFonts w:ascii="Times New Roman" w:hAnsi="Times New Roman" w:cs="Times New Roman"/>
          <w:sz w:val="28"/>
          <w:szCs w:val="28"/>
          <w:lang w:val="uk-UA"/>
        </w:rPr>
        <w:t xml:space="preserve">іально-технічної бази закладів загальної середньої освіти визначаються відповідними будівельними і санітарно-гігієнічними нормами і правилами, а також типовими переліками обов'язкового навчального та іншого обладнання (в тому числі корекційного), навчально</w:t>
      </w:r>
      <w:r>
        <w:rPr>
          <w:rFonts w:ascii="Times New Roman" w:hAnsi="Times New Roman" w:cs="Times New Roman"/>
          <w:sz w:val="28"/>
          <w:szCs w:val="28"/>
          <w:lang w:val="uk-UA"/>
        </w:rPr>
        <w:t xml:space="preserve">-</w:t>
      </w:r>
      <w:r>
        <w:rPr>
          <w:rFonts w:ascii="Times New Roman" w:hAnsi="Times New Roman" w:cs="Times New Roman"/>
          <w:sz w:val="28"/>
          <w:szCs w:val="28"/>
          <w:lang w:val="uk-UA"/>
        </w:rPr>
        <w:t xml:space="preserve">методичних та навчально-наочних посібників, підручників, художньої та іншої літератури. Збитки,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7.4. Об’єкти та майно закладу освіти не підлягають приватизації чи використанню не за освітнім призначенням.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7.5. Утримання та розвиток ма</w:t>
      </w:r>
      <w:r>
        <w:rPr>
          <w:rFonts w:ascii="Times New Roman" w:hAnsi="Times New Roman" w:cs="Times New Roman"/>
          <w:sz w:val="28"/>
          <w:szCs w:val="28"/>
          <w:lang w:val="uk-UA"/>
        </w:rPr>
        <w:t xml:space="preserve">теріально-технічної бази закладу освіти фінансуються за рахунок коштів Засновника. Заклад освіти може надавати платні освітні та інші послуги, перелік яких затверджує Кабінет Міністрів України. Платні освітні послуги не можуть надаватися (повністю чи частк</w:t>
      </w:r>
      <w:r>
        <w:rPr>
          <w:rFonts w:ascii="Times New Roman" w:hAnsi="Times New Roman" w:cs="Times New Roman"/>
          <w:sz w:val="28"/>
          <w:szCs w:val="28"/>
          <w:lang w:val="uk-UA"/>
        </w:rPr>
        <w:t xml:space="preserve">ово) для досягнення учнями закладу освіти результатів навчання (компетентностей), визначених державними стандартами. Учні та їхні батьки можуть отримувати в закладі загальної середньої освіти платні освітні та інші послуги виключно на добровільних засадах.</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7.6. Фінансово-господарська діяльність закладу освіти проводиться відповідно до Бюджетного кодексу України, Законів України «Про освіту», «Про повну загальну середню освіту», «Про місцеве самоврядування </w:t>
      </w:r>
      <w:r>
        <w:rPr>
          <w:rFonts w:ascii="Times New Roman" w:hAnsi="Times New Roman" w:cs="Times New Roman"/>
          <w:sz w:val="28"/>
          <w:szCs w:val="28"/>
          <w:lang w:val="uk-UA"/>
        </w:rPr>
        <w:t xml:space="preserve">в Україні» та інших нормативно-</w:t>
      </w:r>
      <w:r>
        <w:rPr>
          <w:rFonts w:ascii="Times New Roman" w:hAnsi="Times New Roman" w:cs="Times New Roman"/>
          <w:sz w:val="28"/>
          <w:szCs w:val="28"/>
          <w:lang w:val="uk-UA"/>
        </w:rPr>
        <w:t xml:space="preserve">правових актів. Фінансова автономія закладів загальної середньої освіти в частині використання бюджетних коштів передбачає самостійне здійснення витрат у межах затверджених кошторисами обсягів, зокрема на:</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формування структури закладу загальної середньої освіти та його штатного розпису;</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оплату поточних ремонтних робіт приміщень і споруд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оплату підвищення кваліфікації педагогічних та інших працівників;</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укладення відповідно до законодавства цивільно-правових угод (господарських договорів) для забезпечення діяльності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7.7. Джерелами фінансування закладу освіти є:</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визначеними Державними стандартом загальної середньої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доходи від реалізації продукції навчально-виробничих майстерень, від передачі в оренду приміщень, споруд, обладнання;</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добровільні внески у вигляді коштів, матеріальних цінностей, нематеріальних активів, одержаних від підприємств, установ, організацій, фізичних осіб;</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благодійна допомога відповідно до законодавства про благодійну діяльність та благодійні організації;</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гранти;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інші джерела, не заборонені законодавством. Отримані із зазначених джерел кошти використовуються закладом освіти відповідно до затвердженого кошторису.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7.8. Заклад освіти є неприбутковою установою. Доходи (прибутки) закладу освіти використовуються виключно для фінансування видатків на його утримання, реалізації мети (цілей, завдань) та напрямів діяльності, визначених цим Статутом.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7.9. З</w:t>
      </w:r>
      <w:r>
        <w:rPr>
          <w:rFonts w:ascii="Times New Roman" w:hAnsi="Times New Roman" w:cs="Times New Roman"/>
          <w:sz w:val="28"/>
          <w:szCs w:val="28"/>
          <w:lang w:val="uk-UA"/>
        </w:rPr>
        <w:t xml:space="preserve">абороняється розподіл отриманих доходів (прибутків) або їх частини поміж засновника закладу освіти, працівників (крім оплати їх праці, нарахування єдиного соціального внеску та інших відрахувань), членів органів управління та інших пов’язаних з ними осіб.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7.10. Порядок діловодства і бухгалтерського обліку в закладі освіти визначається керівником закладу відповідно до законодавства України. За рішенням </w:t>
      </w:r>
      <w:r>
        <w:rPr>
          <w:rFonts w:ascii="Times New Roman" w:hAnsi="Times New Roman" w:cs="Times New Roman"/>
          <w:sz w:val="28"/>
          <w:szCs w:val="28"/>
          <w:lang w:val="uk-UA"/>
        </w:rPr>
        <w:t xml:space="preserve">засновника </w:t>
      </w:r>
      <w:r>
        <w:rPr>
          <w:rFonts w:ascii="Times New Roman" w:hAnsi="Times New Roman" w:cs="Times New Roman"/>
          <w:sz w:val="28"/>
          <w:szCs w:val="28"/>
          <w:lang w:val="uk-UA"/>
        </w:rPr>
        <w:t xml:space="preserve">бухгалтерський облік може здійснюватися </w:t>
      </w:r>
      <w:r>
        <w:rPr>
          <w:rFonts w:ascii="Times New Roman" w:hAnsi="Times New Roman" w:cs="Times New Roman"/>
          <w:sz w:val="28"/>
          <w:szCs w:val="28"/>
          <w:lang w:val="uk-UA"/>
        </w:rPr>
        <w:t xml:space="preserve">на договірних засадах через </w:t>
      </w:r>
      <w:r>
        <w:rPr>
          <w:rFonts w:ascii="Times New Roman" w:hAnsi="Times New Roman" w:cs="Times New Roman"/>
          <w:sz w:val="28"/>
          <w:szCs w:val="28"/>
          <w:lang w:val="uk-UA"/>
        </w:rPr>
        <w:t xml:space="preserve">Комунальн</w:t>
      </w:r>
      <w:r>
        <w:rPr>
          <w:rFonts w:ascii="Times New Roman" w:hAnsi="Times New Roman" w:cs="Times New Roman"/>
          <w:sz w:val="28"/>
          <w:szCs w:val="28"/>
          <w:lang w:val="uk-UA"/>
        </w:rPr>
        <w:t xml:space="preserve">у</w:t>
      </w:r>
      <w:r>
        <w:rPr>
          <w:rFonts w:ascii="Times New Roman" w:hAnsi="Times New Roman" w:cs="Times New Roman"/>
          <w:sz w:val="28"/>
          <w:szCs w:val="28"/>
          <w:lang w:val="uk-UA"/>
        </w:rPr>
        <w:t xml:space="preserve"> установ</w:t>
      </w:r>
      <w:r>
        <w:rPr>
          <w:rFonts w:ascii="Times New Roman" w:hAnsi="Times New Roman" w:cs="Times New Roman"/>
          <w:sz w:val="28"/>
          <w:szCs w:val="28"/>
          <w:lang w:val="uk-UA"/>
        </w:rPr>
        <w:t xml:space="preserve">у</w:t>
      </w:r>
      <w:r>
        <w:rPr>
          <w:rFonts w:ascii="Times New Roman" w:hAnsi="Times New Roman" w:cs="Times New Roman"/>
          <w:sz w:val="28"/>
          <w:szCs w:val="28"/>
          <w:lang w:val="uk-UA"/>
        </w:rPr>
        <w:t xml:space="preserve"> «Центр з обслуговування освітніх установ та закладів освіти» Менської міської ради</w:t>
      </w:r>
      <w:r>
        <w:rPr>
          <w:rFonts w:ascii="Times New Roman" w:hAnsi="Times New Roman" w:cs="Times New Roman"/>
          <w:sz w:val="28"/>
          <w:szCs w:val="28"/>
          <w:lang w:val="uk-UA"/>
        </w:rPr>
        <w:t xml:space="preserve">.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7.11. Штатний ро</w:t>
      </w:r>
      <w:r>
        <w:rPr>
          <w:rFonts w:ascii="Times New Roman" w:hAnsi="Times New Roman" w:cs="Times New Roman"/>
          <w:sz w:val="28"/>
          <w:szCs w:val="28"/>
          <w:lang w:val="uk-UA"/>
        </w:rPr>
        <w:t xml:space="preserve">зпис закладу освіти затверджується керівником закладу на підставі Типових штатних нормативів для закладів загальної середньої освіти, затверджених центральним органом виконавчої влади, що забезпечує формування та реалізує державну політику у сфері освіти. </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VІІІ. Міжнародне співробітництво</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8.1. Заклад освіти має право укладати угоди про співробітництво, встановлювати прямі зв'язки з органами управління освітою та закладами освіти зарубіжних країн, міжнародними організаціями, фондами у встановленому законодавством порядку.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8.2. Заклад освіти та педагогічні працівники, здобувачі освіти можуть брати участь у реалізації міжнародних проектів та культурно-освітніх програм.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8.3. Заклад освіти за наявності належної матеріально-технічної та соціа</w:t>
      </w:r>
      <w:r>
        <w:rPr>
          <w:rFonts w:ascii="Times New Roman" w:hAnsi="Times New Roman" w:cs="Times New Roman"/>
          <w:sz w:val="28"/>
          <w:szCs w:val="28"/>
          <w:lang w:val="uk-UA"/>
        </w:rPr>
        <w:t xml:space="preserve">льно-культурної бази, відповідного фінансування може проводити міжнародні учнівський та педагогічний обміни у рамках освітніх програм, проєктів, встановлювати відповідно до законодавства прямі зв’язки з міжнародними організаціями та освітніми асоціаціями. </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ІХ. Контроль за діяльністю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9.1. Державний </w:t>
      </w:r>
      <w:r>
        <w:rPr>
          <w:rFonts w:ascii="Times New Roman" w:hAnsi="Times New Roman" w:cs="Times New Roman"/>
          <w:sz w:val="28"/>
          <w:szCs w:val="28"/>
          <w:lang w:val="uk-UA"/>
        </w:rPr>
        <w:t xml:space="preserve">нагляд (контроль) за освітньою діяльністю закладу освіти здійснюється з метою реалізації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9.2. Єдиним плановим заходом державного нагляду (контролю) за освітньою діяльністю закладу освіти є інституційний аудит закладу, що проводиться один раз на </w:t>
      </w:r>
      <w:r>
        <w:rPr>
          <w:rFonts w:ascii="Times New Roman" w:hAnsi="Times New Roman" w:cs="Times New Roman"/>
          <w:sz w:val="28"/>
          <w:szCs w:val="28"/>
          <w:lang w:val="uk-UA"/>
        </w:rPr>
        <w:t xml:space="preserve">10 років центральним органом виконавчої влади із забезпечення якості освіти. Інституційний аудит включає планову перевірку дотримання ліцензійних умов. Інституційний аудит проводиться у позаплановому порядку в разі, якщо заклад освіти, має низьку якість ос</w:t>
      </w:r>
      <w:r>
        <w:rPr>
          <w:rFonts w:ascii="Times New Roman" w:hAnsi="Times New Roman" w:cs="Times New Roman"/>
          <w:sz w:val="28"/>
          <w:szCs w:val="28"/>
          <w:lang w:val="uk-UA"/>
        </w:rPr>
        <w:t xml:space="preserve">вітньої діяльності. Інституційний аудит також може бути проведений у позаплановому порядку за ініціативою засновника, керівника, колегіального органу управління, вищого колегіального органу громадського самоврядування або піклувальної ради закладу освіти.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9.3. Державний нагляд (контроль) за діяльністю закладу освіти здійснюється </w:t>
      </w:r>
      <w:r>
        <w:rPr>
          <w:rFonts w:ascii="Times New Roman" w:hAnsi="Times New Roman" w:cs="Times New Roman"/>
          <w:sz w:val="28"/>
          <w:szCs w:val="28"/>
          <w:lang w:val="uk-UA"/>
        </w:rPr>
        <w:t xml:space="preserve">Чернігівським</w:t>
      </w:r>
      <w:r>
        <w:rPr>
          <w:rFonts w:ascii="Times New Roman" w:hAnsi="Times New Roman" w:cs="Times New Roman"/>
          <w:sz w:val="28"/>
          <w:szCs w:val="28"/>
          <w:lang w:val="uk-UA"/>
        </w:rPr>
        <w:t xml:space="preserve"> управлінням Державної служби якості освіти у межах повноважень, визначених законодавством України. </w:t>
      </w:r>
      <w:r>
        <w:rPr>
          <w:rFonts w:ascii="Times New Roman" w:hAnsi="Times New Roman" w:cs="Times New Roman"/>
          <w:sz w:val="28"/>
          <w:szCs w:val="28"/>
          <w:lang w:val="uk-UA"/>
        </w:rPr>
        <w:t xml:space="preserve">Чернігівське</w:t>
      </w:r>
      <w:r>
        <w:rPr>
          <w:rFonts w:ascii="Times New Roman" w:hAnsi="Times New Roman" w:cs="Times New Roman"/>
          <w:sz w:val="28"/>
          <w:szCs w:val="28"/>
          <w:lang w:val="uk-UA"/>
        </w:rPr>
        <w:t xml:space="preserve"> управління Державної с</w:t>
      </w:r>
      <w:r>
        <w:rPr>
          <w:rFonts w:ascii="Times New Roman" w:hAnsi="Times New Roman" w:cs="Times New Roman"/>
          <w:sz w:val="28"/>
          <w:szCs w:val="28"/>
          <w:lang w:val="uk-UA"/>
        </w:rPr>
        <w:t xml:space="preserve">лужби якості освіти проводить інституційний аудит закладу освіти відповідно до Закону України «Про освіту» і позапланові перевірки у порядку передбаченого Законом України «Про основні засади державного нагляду (контролю) у сфері господарської діяльності».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9.4. Результати інституційного аудиту оприлюднюються на сайтах закладу освіти, </w:t>
      </w:r>
      <w:r>
        <w:rPr>
          <w:rFonts w:ascii="Times New Roman" w:hAnsi="Times New Roman" w:cs="Times New Roman"/>
          <w:sz w:val="28"/>
          <w:szCs w:val="28"/>
          <w:lang w:val="uk-UA"/>
        </w:rPr>
        <w:t xml:space="preserve">органу управління освітою</w:t>
      </w:r>
      <w:r>
        <w:rPr>
          <w:rFonts w:ascii="Times New Roman" w:hAnsi="Times New Roman" w:cs="Times New Roman"/>
          <w:sz w:val="28"/>
          <w:szCs w:val="28"/>
          <w:lang w:val="uk-UA"/>
        </w:rPr>
        <w:t xml:space="preserve"> та органу, що здійснював інституційний аудит.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9.5. Громадський нагляд (контроль) за освітньою діяльністю закладу освіти можуть здійснювати суб’єкти громадського нагляду (контролю) відповідно до Закону України «Про освіту».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9.6. Засновник закладу освіти або уповноважений  ним орган здійснює контроль:</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 дотриманням норм установчих документів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 фінансово-господарською д</w:t>
      </w:r>
      <w:r>
        <w:rPr>
          <w:rFonts w:ascii="Times New Roman" w:hAnsi="Times New Roman" w:cs="Times New Roman"/>
          <w:sz w:val="28"/>
          <w:szCs w:val="28"/>
          <w:lang w:val="uk-UA"/>
        </w:rPr>
        <w:t xml:space="preserve">іяльністю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 - за недопущенням при</w:t>
      </w:r>
      <w:r>
        <w:rPr>
          <w:rFonts w:ascii="Times New Roman" w:hAnsi="Times New Roman" w:cs="Times New Roman"/>
          <w:sz w:val="28"/>
          <w:szCs w:val="28"/>
          <w:lang w:val="uk-UA"/>
        </w:rPr>
        <w:t xml:space="preserve">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 </w:t>
      </w:r>
      <w:r/>
    </w:p>
    <w:p>
      <w:pPr>
        <w:ind w:firstLine="567"/>
        <w:jc w:val="center"/>
        <w:spacing w:lineRule="auto" w:line="240"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Х. Реорганізація, ліквідація чи перепрофілювання (зміна типу) закладу освіти</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10.1. Рішення про реорганізацію, ліквідацію чи перепрофілювання (зміна типу) закладу освіти приймається </w:t>
      </w:r>
      <w:r>
        <w:rPr>
          <w:rFonts w:ascii="Times New Roman" w:hAnsi="Times New Roman" w:cs="Times New Roman"/>
          <w:sz w:val="28"/>
          <w:szCs w:val="28"/>
          <w:lang w:val="uk-UA"/>
        </w:rPr>
        <w:t xml:space="preserve">засновником закладу освіти</w:t>
      </w:r>
      <w:r>
        <w:rPr>
          <w:rFonts w:ascii="Times New Roman" w:hAnsi="Times New Roman" w:cs="Times New Roman"/>
          <w:sz w:val="28"/>
          <w:szCs w:val="28"/>
          <w:lang w:val="uk-UA"/>
        </w:rPr>
        <w:t xml:space="preserve"> у порядку, встановленому чинним законодавством. </w:t>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t xml:space="preserve">10.2. При реорганізації, ліквідації чи перепрофілюванні (зміні типу) закладу освіти його працівникам, здобувачам освіти, гарантовано дотримання їхніх прав та інтересів відповідно до чинного законодавства з питань праці, освіти та національних меншин. </w:t>
      </w:r>
      <w:r/>
    </w:p>
    <w:p>
      <w:pPr>
        <w:jc w:val="center"/>
        <w:spacing w:lineRule="auto" w:line="240" w:after="0"/>
        <w:shd w:val="clear" w:fill="FFFFFF" w:color="auto"/>
        <w:rPr>
          <w:rFonts w:ascii="Times New Roman" w:hAnsi="Times New Roman" w:cs="Times New Roman"/>
          <w:b/>
          <w:iCs/>
          <w:sz w:val="28"/>
          <w:szCs w:val="26"/>
        </w:rPr>
      </w:pPr>
      <w:r>
        <w:rPr>
          <w:rFonts w:ascii="Times New Roman" w:hAnsi="Times New Roman" w:cs="Times New Roman"/>
          <w:sz w:val="28"/>
          <w:szCs w:val="28"/>
          <w:lang w:val="uk-UA"/>
        </w:rPr>
        <w:t xml:space="preserve"> </w:t>
      </w:r>
      <w:r>
        <w:rPr>
          <w:rFonts w:ascii="Times New Roman" w:hAnsi="Times New Roman" w:cs="Times New Roman"/>
          <w:b/>
          <w:iCs/>
          <w:sz w:val="28"/>
          <w:szCs w:val="26"/>
          <w:lang w:val="uk-UA"/>
        </w:rPr>
        <w:t xml:space="preserve">Х</w:t>
      </w:r>
      <w:r>
        <w:rPr>
          <w:rFonts w:ascii="Times New Roman" w:hAnsi="Times New Roman" w:cs="Times New Roman"/>
          <w:b/>
          <w:iCs/>
          <w:sz w:val="28"/>
          <w:szCs w:val="26"/>
          <w:lang w:val="uk-UA"/>
        </w:rPr>
        <w:t xml:space="preserve">І. Прикінцеві положення</w:t>
      </w:r>
      <w:r/>
    </w:p>
    <w:p>
      <w:pPr>
        <w:ind w:firstLine="567"/>
        <w:jc w:val="both"/>
        <w:spacing w:lineRule="auto" w:line="240" w:after="0"/>
        <w:shd w:val="clear" w:fill="FFFFFF" w:color="auto"/>
        <w:rPr>
          <w:rFonts w:ascii="Times New Roman" w:hAnsi="Times New Roman" w:cs="Times New Roman"/>
          <w:b/>
          <w:iCs/>
          <w:sz w:val="28"/>
          <w:szCs w:val="26"/>
        </w:rPr>
      </w:pPr>
      <w:r>
        <w:rPr>
          <w:rFonts w:ascii="Times New Roman" w:hAnsi="Times New Roman" w:cs="Times New Roman"/>
          <w:iCs/>
          <w:sz w:val="28"/>
          <w:szCs w:val="26"/>
          <w:lang w:val="uk-UA"/>
        </w:rPr>
        <w:t xml:space="preserve">11.1.</w:t>
      </w:r>
      <w:r>
        <w:rPr>
          <w:rFonts w:ascii="Times New Roman" w:hAnsi="Times New Roman" w:cs="Times New Roman"/>
          <w:b/>
          <w:iCs/>
          <w:sz w:val="28"/>
          <w:szCs w:val="26"/>
          <w:lang w:val="uk-UA"/>
        </w:rPr>
        <w:t xml:space="preserve"> </w:t>
      </w:r>
      <w:r>
        <w:rPr>
          <w:rFonts w:ascii="Times New Roman" w:hAnsi="Times New Roman" w:cs="Times New Roman"/>
          <w:iCs/>
          <w:sz w:val="28"/>
          <w:szCs w:val="26"/>
          <w:lang w:val="uk-UA"/>
        </w:rPr>
        <w:t xml:space="preserve">Зміни й доповнення до цього Статуту погоджуються уповноваженим органом управління</w:t>
      </w:r>
      <w:r>
        <w:rPr>
          <w:rFonts w:ascii="Times New Roman" w:hAnsi="Times New Roman" w:cs="Times New Roman"/>
          <w:iCs/>
          <w:sz w:val="28"/>
          <w:szCs w:val="26"/>
          <w:lang w:val="uk-UA"/>
        </w:rPr>
        <w:t xml:space="preserve"> </w:t>
      </w:r>
      <w:r>
        <w:rPr>
          <w:rFonts w:ascii="Times New Roman" w:hAnsi="Times New Roman" w:cs="Times New Roman"/>
          <w:iCs/>
          <w:sz w:val="28"/>
          <w:szCs w:val="26"/>
          <w:lang w:val="uk-UA"/>
        </w:rPr>
        <w:t xml:space="preserve">та вносяться на підставі рішення засновника.</w:t>
      </w:r>
      <w:r/>
    </w:p>
    <w:p>
      <w:pPr>
        <w:pStyle w:val="649"/>
        <w:ind w:firstLine="567"/>
        <w:jc w:val="both"/>
        <w:spacing w:after="0" w:afterAutospacing="0" w:before="0" w:beforeAutospacing="0"/>
        <w:rPr>
          <w:sz w:val="28"/>
          <w:szCs w:val="26"/>
        </w:rPr>
      </w:pPr>
      <w:r>
        <w:rPr>
          <w:iCs/>
          <w:sz w:val="28"/>
          <w:szCs w:val="26"/>
          <w:lang w:val="uk-UA"/>
        </w:rPr>
        <w:t xml:space="preserve">11</w:t>
      </w:r>
      <w:r>
        <w:rPr>
          <w:iCs/>
          <w:sz w:val="28"/>
          <w:szCs w:val="26"/>
          <w:lang w:val="uk-UA"/>
        </w:rPr>
        <w:t xml:space="preserve">.2. Зміни й доповнення до цього Статуту підлягають державній реєстрації в порядку, встановленому чинним законодавством України.</w:t>
      </w:r>
      <w:r/>
    </w:p>
    <w:p>
      <w:pPr>
        <w:ind w:firstLine="567"/>
        <w:spacing w:lineRule="auto" w:line="240" w:after="0"/>
        <w:rPr>
          <w:rFonts w:ascii="Times New Roman" w:hAnsi="Times New Roman" w:cs="Times New Roman"/>
          <w:sz w:val="28"/>
          <w:szCs w:val="26"/>
        </w:rPr>
      </w:pPr>
      <w:r>
        <w:rPr>
          <w:rFonts w:ascii="Times New Roman" w:hAnsi="Times New Roman" w:cs="Times New Roman"/>
          <w:sz w:val="28"/>
          <w:szCs w:val="26"/>
        </w:rPr>
      </w:r>
      <w:r/>
    </w:p>
    <w:p>
      <w:pPr>
        <w:ind w:firstLine="567"/>
        <w:jc w:val="both"/>
        <w:spacing w:lineRule="auto" w:line="240" w:after="0"/>
        <w:rPr>
          <w:rFonts w:ascii="Times New Roman" w:hAnsi="Times New Roman" w:cs="Times New Roman"/>
          <w:sz w:val="28"/>
          <w:szCs w:val="28"/>
          <w:lang w:val="uk-UA"/>
        </w:rPr>
      </w:pPr>
      <w:r>
        <w:rPr>
          <w:rFonts w:ascii="Times New Roman" w:hAnsi="Times New Roman" w:cs="Times New Roman"/>
          <w:sz w:val="28"/>
          <w:szCs w:val="28"/>
          <w:lang w:val="uk-UA"/>
        </w:rPr>
      </w:r>
      <w:r/>
    </w:p>
    <w:p>
      <w:pPr>
        <w:ind w:firstLine="0"/>
        <w:jc w:val="both"/>
        <w:spacing w:lineRule="auto" w:line="240" w:after="0"/>
        <w:tabs>
          <w:tab w:val="left" w:pos="6803" w:leader="none"/>
        </w:tabs>
        <w:rPr>
          <w:rFonts w:ascii="Times New Roman" w:hAnsi="Times New Roman" w:cs="Times New Roman"/>
          <w:sz w:val="28"/>
          <w:szCs w:val="28"/>
          <w:lang w:val="uk-UA"/>
        </w:rPr>
      </w:pPr>
      <w:r>
        <w:rPr>
          <w:rFonts w:ascii="Times New Roman" w:hAnsi="Times New Roman" w:cs="Times New Roman"/>
          <w:sz w:val="28"/>
          <w:szCs w:val="28"/>
          <w:lang w:val="uk-UA"/>
        </w:rPr>
        <w:t xml:space="preserve">Начальник Відділу освіти</w:t>
        <w:tab/>
        <w:t xml:space="preserve">Ірина ЛУК’ЯНЕНКО</w:t>
      </w:r>
      <w:r/>
    </w:p>
    <w:sectPr>
      <w:headerReference w:type="default" r:id="rId8"/>
      <w:footnotePr/>
      <w:endnotePr/>
      <w:type w:val="nextPage"/>
      <w:pgSz w:w="11906" w:h="16838" w:orient="portrait"/>
      <w:pgMar w:top="1134" w:right="567" w:bottom="1134" w:left="1701" w:header="708" w:footer="708"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lineRule="auto" w:line="240" w:after="0"/>
      </w:pPr>
      <w:r>
        <w:separator/>
      </w:r>
      <w:r/>
    </w:p>
  </w:endnote>
  <w:endnote w:type="continuationSeparator" w:id="0">
    <w:p>
      <w:pPr>
        <w:spacing w:lineRule="auto" w:line="240" w:after="0"/>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antiqua">
    <w:panose1 w:val="02070409020205020404"/>
  </w:font>
  <w:font w:name="Tahoma">
    <w:panose1 w:val="020B0604030504040204"/>
  </w:font>
  <w:font w:name="Times New Roman">
    <w:panose1 w:val="02020603050405020304"/>
  </w:font>
  <w:font w:name="Arial">
    <w:panose1 w:val="020B0604020202020204"/>
  </w:font>
  <w:font w:name="Cambria">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54"/>
      <w:jc w:val="right"/>
      <w:tabs>
        <w:tab w:val="left" w:pos="2693" w:leader="none"/>
        <w:tab w:val="clear" w:pos="4677" w:leader="none"/>
        <w:tab w:val="clear" w:pos="9355" w:leader="none"/>
      </w:tabs>
      <w:rPr>
        <w:rFonts w:ascii="Times New Roman" w:hAnsi="Times New Roman" w:cs="Times New Roman" w:eastAsia="Times New Roman"/>
        <w:i/>
      </w:rPr>
    </w:pPr>
    <w:fldSimple w:instr="PAGE \* MERGEFORMAT">
      <w:r>
        <w:rPr>
          <w:rFonts w:ascii="Times New Roman" w:hAnsi="Times New Roman" w:cs="Times New Roman" w:eastAsia="Times New Roman"/>
          <w:i/>
        </w:rPr>
        <w:t xml:space="preserve">1</w:t>
      </w:r>
    </w:fldSimple>
    <w:r>
      <w:rPr>
        <w:rFonts w:ascii="Times New Roman" w:hAnsi="Times New Roman" w:cs="Times New Roman" w:eastAsia="Times New Roman"/>
        <w:i/>
      </w:rPr>
    </w:r>
    <w:r>
      <w:rPr>
        <w:rFonts w:ascii="Times New Roman" w:hAnsi="Times New Roman" w:cs="Times New Roman" w:eastAsia="Times New Roman"/>
        <w:i/>
      </w:rPr>
      <w:tab/>
      <w:t xml:space="preserve">п</w:t>
    </w:r>
    <w:r>
      <w:rPr>
        <w:rFonts w:ascii="Times New Roman" w:hAnsi="Times New Roman" w:cs="Times New Roman" w:eastAsia="Times New Roman"/>
        <w:i/>
      </w:rPr>
      <w:t xml:space="preserve">р</w:t>
    </w:r>
    <w:r>
      <w:rPr>
        <w:rFonts w:ascii="Times New Roman" w:hAnsi="Times New Roman" w:cs="Times New Roman" w:eastAsia="Times New Roman"/>
        <w:i/>
      </w:rPr>
      <w:t xml:space="preserve">одовження додатка</w:t>
    </w:r>
    <w:r>
      <w:rPr>
        <w:rFonts w:ascii="Times New Roman" w:hAnsi="Times New Roman" w:cs="Times New Roman" w:eastAsia="Times New Roman"/>
        <w:i/>
      </w:rPr>
    </w:r>
  </w:p>
  <w:p>
    <w:pPr>
      <w:pStyle w:val="654"/>
      <w:rPr>
        <w:rFonts w:ascii="Times New Roman" w:hAnsi="Times New Roman" w:cs="Times New Roman" w:eastAsia="Times New Roman"/>
      </w:rPr>
    </w:pPr>
    <w:r>
      <w:rPr>
        <w:rFonts w:ascii="Times New Roman" w:hAnsi="Times New Roman" w:cs="Times New Roman" w:eastAsia="Times New Roman"/>
      </w:rPr>
    </w:r>
  </w:p>
</w:hdr>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m:brkBin m:val="before"/>
    <m:defJc m:val="centerGroup"/>
    <m:intLim m:val="subSup"/>
    <m:lMargin m:val="0"/>
    <m:mathFont m:val="Cambria Math"/>
    <m:naryLim m:val="undOvr"/>
    <m:rMargin m:val="0"/>
    <m:smallFrac m:val="off"/>
    <m:wrapIndent m:val="1440"/>
  </m:mathPr>
  <w:trackRevisions w:val="false"/>
  <w:footnotePr>
    <w:footnote w:id="-1"/>
    <w:footnote w:id="0"/>
    <w:numFmt w:val="decimal"/>
    <w:numRestart w:val="continuous"/>
    <w:numStart w:val="1"/>
    <w:pos w:val="pageBottom"/>
  </w:footnotePr>
  <w:endnotePr>
    <w:endnote w:id="-1"/>
    <w:endnote w:id="0"/>
    <w:numFmt w:val="lowerRoman"/>
    <w:numRestart w:val="continuous"/>
    <w:numStart w:val="1"/>
    <w:pos w:val="docEnd"/>
  </w:endnotePr>
  <w:decimalSymbol w:val=","/>
  <w:listSeparator w:val=";"/>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ru-RU" w:bidi="ar-SA" w:eastAsia="en-US"/>
      </w:rPr>
    </w:rPrDefault>
    <w:pPrDefault>
      <w:pPr>
        <w:spacing w:lineRule="auto" w:line="276" w:after="200" w:afterAutospacing="0" w:before="0" w:beforeAutospacing="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1">
    <w:name w:val="Heading 1"/>
    <w:basedOn w:val="644"/>
    <w:next w:val="644"/>
    <w:link w:val="12"/>
    <w:qFormat/>
    <w:uiPriority w:val="9"/>
    <w:rPr>
      <w:rFonts w:ascii="Arial" w:hAnsi="Arial" w:cs="Arial" w:eastAsia="Arial"/>
      <w:sz w:val="40"/>
      <w:szCs w:val="40"/>
    </w:rPr>
    <w:pPr>
      <w:keepLines/>
      <w:keepNext/>
      <w:spacing w:after="200" w:before="480"/>
      <w:outlineLvl w:val="0"/>
    </w:pPr>
  </w:style>
  <w:style w:type="character" w:styleId="12">
    <w:name w:val="Heading 1 Char"/>
    <w:basedOn w:val="645"/>
    <w:link w:val="11"/>
    <w:uiPriority w:val="9"/>
    <w:rPr>
      <w:rFonts w:ascii="Arial" w:hAnsi="Arial" w:cs="Arial" w:eastAsia="Arial"/>
      <w:sz w:val="40"/>
      <w:szCs w:val="40"/>
    </w:rPr>
  </w:style>
  <w:style w:type="paragraph" w:styleId="13">
    <w:name w:val="Heading 2"/>
    <w:basedOn w:val="644"/>
    <w:next w:val="644"/>
    <w:link w:val="14"/>
    <w:qFormat/>
    <w:uiPriority w:val="9"/>
    <w:unhideWhenUsed/>
    <w:rPr>
      <w:rFonts w:ascii="Arial" w:hAnsi="Arial" w:cs="Arial" w:eastAsia="Arial"/>
      <w:sz w:val="34"/>
    </w:rPr>
    <w:pPr>
      <w:keepLines/>
      <w:keepNext/>
      <w:spacing w:after="200" w:before="360"/>
      <w:outlineLvl w:val="1"/>
    </w:pPr>
  </w:style>
  <w:style w:type="character" w:styleId="14">
    <w:name w:val="Heading 2 Char"/>
    <w:basedOn w:val="645"/>
    <w:link w:val="13"/>
    <w:uiPriority w:val="9"/>
    <w:rPr>
      <w:rFonts w:ascii="Arial" w:hAnsi="Arial" w:cs="Arial" w:eastAsia="Arial"/>
      <w:sz w:val="34"/>
    </w:rPr>
  </w:style>
  <w:style w:type="paragraph" w:styleId="15">
    <w:name w:val="Heading 3"/>
    <w:basedOn w:val="644"/>
    <w:next w:val="644"/>
    <w:link w:val="16"/>
    <w:qFormat/>
    <w:uiPriority w:val="9"/>
    <w:unhideWhenUsed/>
    <w:rPr>
      <w:rFonts w:ascii="Arial" w:hAnsi="Arial" w:cs="Arial" w:eastAsia="Arial"/>
      <w:sz w:val="30"/>
      <w:szCs w:val="30"/>
    </w:rPr>
    <w:pPr>
      <w:keepLines/>
      <w:keepNext/>
      <w:spacing w:after="200" w:before="320"/>
      <w:outlineLvl w:val="2"/>
    </w:pPr>
  </w:style>
  <w:style w:type="character" w:styleId="16">
    <w:name w:val="Heading 3 Char"/>
    <w:basedOn w:val="645"/>
    <w:link w:val="15"/>
    <w:uiPriority w:val="9"/>
    <w:rPr>
      <w:rFonts w:ascii="Arial" w:hAnsi="Arial" w:cs="Arial" w:eastAsia="Arial"/>
      <w:sz w:val="30"/>
      <w:szCs w:val="30"/>
    </w:rPr>
  </w:style>
  <w:style w:type="paragraph" w:styleId="17">
    <w:name w:val="Heading 4"/>
    <w:basedOn w:val="644"/>
    <w:next w:val="644"/>
    <w:link w:val="18"/>
    <w:qFormat/>
    <w:uiPriority w:val="9"/>
    <w:unhideWhenUsed/>
    <w:rPr>
      <w:rFonts w:ascii="Arial" w:hAnsi="Arial" w:cs="Arial" w:eastAsia="Arial"/>
      <w:b/>
      <w:bCs/>
      <w:sz w:val="26"/>
      <w:szCs w:val="26"/>
    </w:rPr>
    <w:pPr>
      <w:keepLines/>
      <w:keepNext/>
      <w:spacing w:after="200" w:before="320"/>
      <w:outlineLvl w:val="3"/>
    </w:pPr>
  </w:style>
  <w:style w:type="character" w:styleId="18">
    <w:name w:val="Heading 4 Char"/>
    <w:basedOn w:val="645"/>
    <w:link w:val="17"/>
    <w:uiPriority w:val="9"/>
    <w:rPr>
      <w:rFonts w:ascii="Arial" w:hAnsi="Arial" w:cs="Arial" w:eastAsia="Arial"/>
      <w:b/>
      <w:bCs/>
      <w:sz w:val="26"/>
      <w:szCs w:val="26"/>
    </w:rPr>
  </w:style>
  <w:style w:type="paragraph" w:styleId="19">
    <w:name w:val="Heading 5"/>
    <w:basedOn w:val="644"/>
    <w:next w:val="644"/>
    <w:link w:val="20"/>
    <w:qFormat/>
    <w:uiPriority w:val="9"/>
    <w:unhideWhenUsed/>
    <w:rPr>
      <w:rFonts w:ascii="Arial" w:hAnsi="Arial" w:cs="Arial" w:eastAsia="Arial"/>
      <w:b/>
      <w:bCs/>
      <w:sz w:val="24"/>
      <w:szCs w:val="24"/>
    </w:rPr>
    <w:pPr>
      <w:keepLines/>
      <w:keepNext/>
      <w:spacing w:after="200" w:before="320"/>
      <w:outlineLvl w:val="4"/>
    </w:pPr>
  </w:style>
  <w:style w:type="character" w:styleId="20">
    <w:name w:val="Heading 5 Char"/>
    <w:basedOn w:val="645"/>
    <w:link w:val="19"/>
    <w:uiPriority w:val="9"/>
    <w:rPr>
      <w:rFonts w:ascii="Arial" w:hAnsi="Arial" w:cs="Arial" w:eastAsia="Arial"/>
      <w:b/>
      <w:bCs/>
      <w:sz w:val="24"/>
      <w:szCs w:val="24"/>
    </w:rPr>
  </w:style>
  <w:style w:type="paragraph" w:styleId="21">
    <w:name w:val="Heading 6"/>
    <w:basedOn w:val="644"/>
    <w:next w:val="644"/>
    <w:link w:val="22"/>
    <w:qFormat/>
    <w:uiPriority w:val="9"/>
    <w:unhideWhenUsed/>
    <w:rPr>
      <w:rFonts w:ascii="Arial" w:hAnsi="Arial" w:cs="Arial" w:eastAsia="Arial"/>
      <w:b/>
      <w:bCs/>
      <w:sz w:val="22"/>
      <w:szCs w:val="22"/>
    </w:rPr>
    <w:pPr>
      <w:keepLines/>
      <w:keepNext/>
      <w:spacing w:after="200" w:before="320"/>
      <w:outlineLvl w:val="5"/>
    </w:pPr>
  </w:style>
  <w:style w:type="character" w:styleId="22">
    <w:name w:val="Heading 6 Char"/>
    <w:basedOn w:val="645"/>
    <w:link w:val="21"/>
    <w:uiPriority w:val="9"/>
    <w:rPr>
      <w:rFonts w:ascii="Arial" w:hAnsi="Arial" w:cs="Arial" w:eastAsia="Arial"/>
      <w:b/>
      <w:bCs/>
      <w:sz w:val="22"/>
      <w:szCs w:val="22"/>
    </w:rPr>
  </w:style>
  <w:style w:type="paragraph" w:styleId="23">
    <w:name w:val="Heading 7"/>
    <w:basedOn w:val="644"/>
    <w:next w:val="644"/>
    <w:link w:val="24"/>
    <w:qFormat/>
    <w:uiPriority w:val="9"/>
    <w:unhideWhenUsed/>
    <w:rPr>
      <w:rFonts w:ascii="Arial" w:hAnsi="Arial" w:cs="Arial" w:eastAsia="Arial"/>
      <w:b/>
      <w:bCs/>
      <w:i/>
      <w:iCs/>
      <w:sz w:val="22"/>
      <w:szCs w:val="22"/>
    </w:rPr>
    <w:pPr>
      <w:keepLines/>
      <w:keepNext/>
      <w:spacing w:after="200" w:before="320"/>
      <w:outlineLvl w:val="6"/>
    </w:pPr>
  </w:style>
  <w:style w:type="character" w:styleId="24">
    <w:name w:val="Heading 7 Char"/>
    <w:basedOn w:val="645"/>
    <w:link w:val="23"/>
    <w:uiPriority w:val="9"/>
    <w:rPr>
      <w:rFonts w:ascii="Arial" w:hAnsi="Arial" w:cs="Arial" w:eastAsia="Arial"/>
      <w:b/>
      <w:bCs/>
      <w:i/>
      <w:iCs/>
      <w:sz w:val="22"/>
      <w:szCs w:val="22"/>
    </w:rPr>
  </w:style>
  <w:style w:type="paragraph" w:styleId="25">
    <w:name w:val="Heading 8"/>
    <w:basedOn w:val="644"/>
    <w:next w:val="644"/>
    <w:link w:val="26"/>
    <w:qFormat/>
    <w:uiPriority w:val="9"/>
    <w:unhideWhenUsed/>
    <w:rPr>
      <w:rFonts w:ascii="Arial" w:hAnsi="Arial" w:cs="Arial" w:eastAsia="Arial"/>
      <w:i/>
      <w:iCs/>
      <w:sz w:val="22"/>
      <w:szCs w:val="22"/>
    </w:rPr>
    <w:pPr>
      <w:keepLines/>
      <w:keepNext/>
      <w:spacing w:after="200" w:before="320"/>
      <w:outlineLvl w:val="7"/>
    </w:pPr>
  </w:style>
  <w:style w:type="character" w:styleId="26">
    <w:name w:val="Heading 8 Char"/>
    <w:basedOn w:val="645"/>
    <w:link w:val="25"/>
    <w:uiPriority w:val="9"/>
    <w:rPr>
      <w:rFonts w:ascii="Arial" w:hAnsi="Arial" w:cs="Arial" w:eastAsia="Arial"/>
      <w:i/>
      <w:iCs/>
      <w:sz w:val="22"/>
      <w:szCs w:val="22"/>
    </w:rPr>
  </w:style>
  <w:style w:type="paragraph" w:styleId="27">
    <w:name w:val="Heading 9"/>
    <w:basedOn w:val="644"/>
    <w:next w:val="644"/>
    <w:link w:val="28"/>
    <w:qFormat/>
    <w:uiPriority w:val="9"/>
    <w:unhideWhenUsed/>
    <w:rPr>
      <w:rFonts w:ascii="Arial" w:hAnsi="Arial" w:cs="Arial" w:eastAsia="Arial"/>
      <w:i/>
      <w:iCs/>
      <w:sz w:val="21"/>
      <w:szCs w:val="21"/>
    </w:rPr>
    <w:pPr>
      <w:keepLines/>
      <w:keepNext/>
      <w:spacing w:after="200" w:before="320"/>
      <w:outlineLvl w:val="8"/>
    </w:pPr>
  </w:style>
  <w:style w:type="character" w:styleId="28">
    <w:name w:val="Heading 9 Char"/>
    <w:basedOn w:val="645"/>
    <w:link w:val="27"/>
    <w:uiPriority w:val="9"/>
    <w:rPr>
      <w:rFonts w:ascii="Arial" w:hAnsi="Arial" w:cs="Arial" w:eastAsia="Arial"/>
      <w:i/>
      <w:iCs/>
      <w:sz w:val="21"/>
      <w:szCs w:val="21"/>
    </w:rPr>
  </w:style>
  <w:style w:type="paragraph" w:styleId="29">
    <w:name w:val="List Paragraph"/>
    <w:basedOn w:val="644"/>
    <w:qFormat/>
    <w:uiPriority w:val="34"/>
    <w:pPr>
      <w:contextualSpacing w:val="true"/>
      <w:ind w:left="720"/>
    </w:pPr>
  </w:style>
  <w:style w:type="paragraph" w:styleId="31">
    <w:name w:val="No Spacing"/>
    <w:qFormat/>
    <w:uiPriority w:val="1"/>
    <w:pPr>
      <w:spacing w:lineRule="auto" w:line="240" w:after="0" w:before="0"/>
    </w:pPr>
  </w:style>
  <w:style w:type="character" w:styleId="33">
    <w:name w:val="Title Char"/>
    <w:basedOn w:val="645"/>
    <w:link w:val="651"/>
    <w:uiPriority w:val="10"/>
    <w:rPr>
      <w:sz w:val="48"/>
      <w:szCs w:val="48"/>
    </w:rPr>
  </w:style>
  <w:style w:type="paragraph" w:styleId="34">
    <w:name w:val="Subtitle"/>
    <w:basedOn w:val="644"/>
    <w:next w:val="644"/>
    <w:link w:val="35"/>
    <w:qFormat/>
    <w:uiPriority w:val="11"/>
    <w:rPr>
      <w:sz w:val="24"/>
      <w:szCs w:val="24"/>
    </w:rPr>
    <w:pPr>
      <w:spacing w:after="200" w:before="200"/>
    </w:pPr>
  </w:style>
  <w:style w:type="character" w:styleId="35">
    <w:name w:val="Subtitle Char"/>
    <w:basedOn w:val="645"/>
    <w:link w:val="34"/>
    <w:uiPriority w:val="11"/>
    <w:rPr>
      <w:sz w:val="24"/>
      <w:szCs w:val="24"/>
    </w:rPr>
  </w:style>
  <w:style w:type="paragraph" w:styleId="36">
    <w:name w:val="Quote"/>
    <w:basedOn w:val="644"/>
    <w:next w:val="644"/>
    <w:link w:val="37"/>
    <w:qFormat/>
    <w:uiPriority w:val="29"/>
    <w:rPr>
      <w:i/>
    </w:rPr>
    <w:pPr>
      <w:ind w:left="720" w:right="720"/>
    </w:pPr>
  </w:style>
  <w:style w:type="character" w:styleId="37">
    <w:name w:val="Quote Char"/>
    <w:link w:val="36"/>
    <w:uiPriority w:val="29"/>
    <w:rPr>
      <w:i/>
    </w:rPr>
  </w:style>
  <w:style w:type="paragraph" w:styleId="38">
    <w:name w:val="Intense Quote"/>
    <w:basedOn w:val="644"/>
    <w:next w:val="644"/>
    <w:link w:val="39"/>
    <w:qFormat/>
    <w:uiPriority w:val="30"/>
    <w:rPr>
      <w:i/>
    </w:rPr>
    <w:pPr>
      <w:contextualSpacing w:val="false"/>
      <w:ind w:left="720" w:right="720"/>
      <w:shd w:val="clear" w:fill="F2F2F2" w:color="auto"/>
      <w:pBdr>
        <w:left w:val="single" w:color="FFFFFF" w:sz="4" w:space="10"/>
        <w:top w:val="single" w:color="FFFFFF" w:sz="4" w:space="5"/>
        <w:right w:val="single" w:color="FFFFFF" w:sz="4" w:space="10"/>
        <w:bottom w:val="single" w:color="FFFFFF" w:sz="4" w:space="5"/>
      </w:pBdr>
    </w:pPr>
  </w:style>
  <w:style w:type="character" w:styleId="39">
    <w:name w:val="Intense Quote Char"/>
    <w:link w:val="38"/>
    <w:uiPriority w:val="30"/>
    <w:rPr>
      <w:i/>
    </w:rPr>
  </w:style>
  <w:style w:type="character" w:styleId="41">
    <w:name w:val="Header Char"/>
    <w:basedOn w:val="645"/>
    <w:link w:val="654"/>
    <w:uiPriority w:val="99"/>
  </w:style>
  <w:style w:type="character" w:styleId="43">
    <w:name w:val="Footer Char"/>
    <w:basedOn w:val="645"/>
    <w:link w:val="656"/>
    <w:uiPriority w:val="99"/>
  </w:style>
  <w:style w:type="paragraph" w:styleId="44">
    <w:name w:val="Caption"/>
    <w:basedOn w:val="644"/>
    <w:next w:val="644"/>
    <w:qFormat/>
    <w:uiPriority w:val="35"/>
    <w:semiHidden/>
    <w:unhideWhenUsed/>
    <w:rPr>
      <w:b/>
      <w:bCs/>
      <w:color w:val="4F81BD" w:themeColor="accent1"/>
      <w:sz w:val="18"/>
      <w:szCs w:val="18"/>
    </w:rPr>
    <w:pPr>
      <w:spacing w:lineRule="auto" w:line="276"/>
    </w:pPr>
  </w:style>
  <w:style w:type="character" w:styleId="45">
    <w:name w:val="Caption Char"/>
    <w:basedOn w:val="44"/>
    <w:link w:val="656"/>
    <w:uiPriority w:val="99"/>
  </w:style>
  <w:style w:type="table" w:styleId="46">
    <w:name w:val="Table Grid"/>
    <w:basedOn w:val="646"/>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47">
    <w:name w:val="Table Grid Light"/>
    <w:basedOn w:val="646"/>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8">
    <w:name w:val="Plain Table 1"/>
    <w:basedOn w:val="646"/>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FFFFFF" w:themeColor="text1" w:themeTint="0D"/>
      </w:tcPr>
    </w:tblStylePr>
    <w:tblStylePr w:type="band1Vert">
      <w:tcPr>
        <w:shd w:val="clear" w:color="FFFFFF" w:themeColor="text1" w:theme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646"/>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646"/>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Color="text1" w:themeTint="0D"/>
      </w:tcPr>
    </w:tblStylePr>
    <w:tblStylePr w:type="band1Vert">
      <w:rPr>
        <w:rFonts w:ascii="Arial" w:hAnsi="Arial"/>
        <w:color w:val="404040"/>
        <w:sz w:val="22"/>
      </w:rPr>
      <w:tcPr>
        <w:shd w:val="clear" w:color="FFFFFF" w:themeColor="text1" w:theme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51">
    <w:name w:val="Plain Table 4"/>
    <w:basedOn w:val="646"/>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Color="text1" w:themeTint="0D"/>
      </w:tcPr>
    </w:tblStylePr>
    <w:tblStylePr w:type="band1Vert">
      <w:rPr>
        <w:rFonts w:ascii="Arial" w:hAnsi="Arial"/>
        <w:color w:val="404040"/>
        <w:sz w:val="22"/>
      </w:rPr>
      <w:tcPr>
        <w:shd w:val="clear" w:color="FFFFFF" w:themeColor="text1" w:theme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646"/>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FFFFFF" w:themeColor="text1" w:themeTint="0D"/>
      </w:tcPr>
    </w:tblStylePr>
    <w:tblStylePr w:type="band1Vert">
      <w:rPr>
        <w:rFonts w:ascii="Arial" w:hAnsi="Arial"/>
        <w:color w:val="404040"/>
        <w:sz w:val="22"/>
      </w:rPr>
      <w:tcPr>
        <w:shd w:val="clear" w:color="FFFFFF" w:themeColor="text1" w:theme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right w:val="none" w:color="000000" w:sz="4" w:space="0"/>
          <w:bottom w:val="single" w:color="40404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left w:val="none" w:color="000000" w:sz="4" w:space="0"/>
          <w:top w:val="single" w:color="404040" w:sz="4" w:space="0"/>
          <w:right w:val="none" w:color="000000" w:sz="4" w:space="0"/>
        </w:tcBorders>
      </w:tcPr>
    </w:tblStylePr>
  </w:style>
  <w:style w:type="table" w:styleId="53">
    <w:name w:val="Grid Table 1 Light"/>
    <w:basedOn w:val="646"/>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54">
    <w:name w:val="Grid Table 1 Light - Accent 1"/>
    <w:basedOn w:val="646"/>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55">
    <w:name w:val="Grid Table 1 Light - Accent 2"/>
    <w:basedOn w:val="646"/>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56">
    <w:name w:val="Grid Table 1 Light - Accent 3"/>
    <w:basedOn w:val="646"/>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57">
    <w:name w:val="Grid Table 1 Light - Accent 4"/>
    <w:basedOn w:val="646"/>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58">
    <w:name w:val="Grid Table 1 Light - Accent 5"/>
    <w:basedOn w:val="646"/>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59">
    <w:name w:val="Grid Table 1 Light - Accent 6"/>
    <w:basedOn w:val="646"/>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60">
    <w:name w:val="Grid Table 2"/>
    <w:basedOn w:val="646"/>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Color="text1" w:themeTint="34"/>
      </w:tcPr>
    </w:tblStylePr>
    <w:tblStylePr w:type="band1Vert">
      <w:rPr>
        <w:rFonts w:ascii="Arial" w:hAnsi="Arial"/>
        <w:color w:val="404040"/>
        <w:sz w:val="22"/>
      </w:rPr>
      <w:tcPr>
        <w:shd w:val="clear" w:color="FFFFFF" w:themeColor="tex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text1" w:themeTint="95"/>
          <w:right w:val="none" w:color="000000" w:sz="4" w:space="0"/>
          <w:bottom w:val="none" w:color="000000" w:sz="4" w:space="0"/>
        </w:tcBorders>
      </w:tcPr>
    </w:tblStylePr>
  </w:style>
  <w:style w:type="table" w:styleId="61">
    <w:name w:val="Grid Table 2 - Accent 1"/>
    <w:basedOn w:val="646"/>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Color="accent1" w:themeTint="34"/>
      </w:tcPr>
    </w:tblStylePr>
    <w:tblStylePr w:type="band1Vert">
      <w:rPr>
        <w:rFonts w:ascii="Arial" w:hAnsi="Arial"/>
        <w:color w:val="404040"/>
        <w:sz w:val="22"/>
      </w:rPr>
      <w:tcPr>
        <w:shd w:val="clear" w:color="FFFFFF" w:themeColor="accent1"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62">
    <w:name w:val="Grid Table 2 - Accent 2"/>
    <w:basedOn w:val="646"/>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Color="accent2" w:themeTint="32"/>
      </w:tcPr>
    </w:tblStylePr>
    <w:tblStylePr w:type="band1Vert">
      <w:rPr>
        <w:rFonts w:ascii="Arial" w:hAnsi="Arial"/>
        <w:color w:val="404040"/>
        <w:sz w:val="22"/>
      </w:rPr>
      <w:tcPr>
        <w:shd w:val="clear" w:color="FFFFFF" w:themeColor="accent2" w:themeTint="32"/>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63">
    <w:name w:val="Grid Table 2 - Accent 3"/>
    <w:basedOn w:val="646"/>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Color="accent3" w:themeTint="34"/>
      </w:tcPr>
    </w:tblStylePr>
    <w:tblStylePr w:type="band1Vert">
      <w:rPr>
        <w:rFonts w:ascii="Arial" w:hAnsi="Arial"/>
        <w:color w:val="404040"/>
        <w:sz w:val="22"/>
      </w:rPr>
      <w:tcPr>
        <w:shd w:val="clear" w:color="FFFFFF" w:themeColor="accent3"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64">
    <w:name w:val="Grid Table 2 - Accent 4"/>
    <w:basedOn w:val="646"/>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Color="accent4" w:themeTint="34"/>
      </w:tcPr>
    </w:tblStylePr>
    <w:tblStylePr w:type="band1Vert">
      <w:rPr>
        <w:rFonts w:ascii="Arial" w:hAnsi="Arial"/>
        <w:color w:val="404040"/>
        <w:sz w:val="22"/>
      </w:rPr>
      <w:tcPr>
        <w:shd w:val="clear" w:color="FFFFFF" w:themeColor="accent4"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65">
    <w:name w:val="Grid Table 2 - Accent 5"/>
    <w:basedOn w:val="646"/>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Color="accent5" w:themeTint="34"/>
      </w:tcPr>
    </w:tblStylePr>
    <w:tblStylePr w:type="band1Vert">
      <w:rPr>
        <w:rFonts w:ascii="Arial" w:hAnsi="Arial"/>
        <w:color w:val="404040"/>
        <w:sz w:val="22"/>
      </w:rPr>
      <w:tcPr>
        <w:shd w:val="clear" w:color="FFFFFF" w:themeColor="accent5"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5"/>
          <w:right w:val="none" w:color="000000" w:sz="4" w:space="0"/>
          <w:bottom w:val="none" w:color="000000" w:sz="4" w:space="0"/>
        </w:tcBorders>
      </w:tcPr>
    </w:tblStylePr>
  </w:style>
  <w:style w:type="table" w:styleId="66">
    <w:name w:val="Grid Table 2 - Accent 6"/>
    <w:basedOn w:val="646"/>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Color="accent6" w:themeTint="34"/>
      </w:tcPr>
    </w:tblStylePr>
    <w:tblStylePr w:type="band1Vert">
      <w:rPr>
        <w:rFonts w:ascii="Arial" w:hAnsi="Arial"/>
        <w:color w:val="404040"/>
        <w:sz w:val="22"/>
      </w:rPr>
      <w:tcPr>
        <w:shd w:val="clear" w:color="FFFFFF" w:themeColor="accent6" w:themeTint="34"/>
      </w:tcPr>
    </w:tblStylePr>
    <w:tblStylePr w:type="firstCol">
      <w:rPr>
        <w:b/>
        <w:color w:val="404040"/>
      </w:rPr>
    </w:tblStylePr>
    <w:tblStylePr w:type="firstRow">
      <w:rPr>
        <w:b/>
        <w:color w:val="404040"/>
      </w:rPr>
      <w:tcPr>
        <w:shd w:val="clear" w:color="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FFFFFF"/>
        <w:tcBorders>
          <w:left w:val="none" w:color="000000" w:sz="4" w:space="0"/>
          <w:top w:val="single" w:color="000000" w:sz="4" w:space="0" w:themeColor="accent6"/>
          <w:right w:val="none" w:color="000000" w:sz="4" w:space="0"/>
          <w:bottom w:val="none" w:color="000000" w:sz="4" w:space="0"/>
        </w:tcBorders>
      </w:tcPr>
    </w:tblStylePr>
  </w:style>
  <w:style w:type="table" w:styleId="67">
    <w:name w:val="Grid Table 3"/>
    <w:basedOn w:val="646"/>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FFFFFF" w:themeColor="text1" w:themeTint="34"/>
      </w:tcPr>
    </w:tblStylePr>
    <w:tblStylePr w:type="band1Vert">
      <w:rPr>
        <w:rFonts w:ascii="Arial" w:hAnsi="Arial"/>
        <w:color w:val="404040"/>
        <w:sz w:val="22"/>
      </w:rPr>
      <w:tcPr>
        <w:shd w:val="clear" w:color="FFFFFF" w:themeColor="tex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8">
    <w:name w:val="Grid Table 3 - Accent 1"/>
    <w:basedOn w:val="646"/>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FFFFFF" w:themeColor="accent1" w:themeTint="34"/>
      </w:tcPr>
    </w:tblStylePr>
    <w:tblStylePr w:type="band1Vert">
      <w:rPr>
        <w:rFonts w:ascii="Arial" w:hAnsi="Arial"/>
        <w:color w:val="404040"/>
        <w:sz w:val="22"/>
      </w:rPr>
      <w:tcPr>
        <w:shd w:val="clear" w:color="FFFFFF" w:themeColor="accent1"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69">
    <w:name w:val="Grid Table 3 - Accent 2"/>
    <w:basedOn w:val="646"/>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FFFFFF" w:themeColor="accent2" w:themeTint="32"/>
      </w:tcPr>
    </w:tblStylePr>
    <w:tblStylePr w:type="band1Vert">
      <w:rPr>
        <w:rFonts w:ascii="Arial" w:hAnsi="Arial"/>
        <w:color w:val="404040"/>
        <w:sz w:val="22"/>
      </w:rPr>
      <w:tcPr>
        <w:shd w:val="clear" w:color="FFFFFF" w:themeColor="accent2" w:themeTint="32"/>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0">
    <w:name w:val="Grid Table 3 - Accent 3"/>
    <w:basedOn w:val="646"/>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FFFFFF" w:themeColor="accent3" w:themeTint="34"/>
      </w:tcPr>
    </w:tblStylePr>
    <w:tblStylePr w:type="band1Vert">
      <w:rPr>
        <w:rFonts w:ascii="Arial" w:hAnsi="Arial"/>
        <w:color w:val="404040"/>
        <w:sz w:val="22"/>
      </w:rPr>
      <w:tcPr>
        <w:shd w:val="clear" w:color="FFFFFF" w:themeColor="accent3"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1">
    <w:name w:val="Grid Table 3 - Accent 4"/>
    <w:basedOn w:val="646"/>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FFFFFF" w:themeColor="accent4" w:themeTint="34"/>
      </w:tcPr>
    </w:tblStylePr>
    <w:tblStylePr w:type="band1Vert">
      <w:rPr>
        <w:rFonts w:ascii="Arial" w:hAnsi="Arial"/>
        <w:color w:val="404040"/>
        <w:sz w:val="22"/>
      </w:rPr>
      <w:tcPr>
        <w:shd w:val="clear" w:color="FFFFFF" w:themeColor="accent4"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2">
    <w:name w:val="Grid Table 3 - Accent 5"/>
    <w:basedOn w:val="646"/>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FFFFFF" w:themeColor="accent5" w:themeTint="34"/>
      </w:tcPr>
    </w:tblStylePr>
    <w:tblStylePr w:type="band1Vert">
      <w:rPr>
        <w:rFonts w:ascii="Arial" w:hAnsi="Arial"/>
        <w:color w:val="404040"/>
        <w:sz w:val="22"/>
      </w:rPr>
      <w:tcPr>
        <w:shd w:val="clear" w:color="FFFFFF" w:themeColor="accent5"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3">
    <w:name w:val="Grid Table 3 - Accent 6"/>
    <w:basedOn w:val="646"/>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FFFFFF" w:themeColor="accent6" w:themeTint="34"/>
      </w:tcPr>
    </w:tblStylePr>
    <w:tblStylePr w:type="band1Vert">
      <w:rPr>
        <w:rFonts w:ascii="Arial" w:hAnsi="Arial"/>
        <w:color w:val="404040"/>
        <w:sz w:val="22"/>
      </w:rPr>
      <w:tcPr>
        <w:shd w:val="clear" w:color="FFFFFF" w:themeColor="accent6" w:themeTint="34"/>
      </w:tcPr>
    </w:tblStylePr>
    <w:tblStylePr w:type="firstCol">
      <w:rPr>
        <w:i/>
        <w:color w:val="404040"/>
      </w:rPr>
      <w:pPr>
        <w:jc w:val="right"/>
      </w:pPr>
      <w:tcPr>
        <w:shd w:color="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color="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FFFFFF"/>
        <w:tcBorders>
          <w:left w:val="none" w:color="000000" w:sz="4" w:space="0"/>
          <w:top w:val="none" w:color="000000" w:sz="4" w:space="0"/>
          <w:right w:val="none" w:color="000000" w:sz="4" w:space="0"/>
          <w:bottom w:val="none" w:color="000000" w:sz="4" w:space="0"/>
        </w:tcBorders>
      </w:tcPr>
    </w:tblStylePr>
  </w:style>
  <w:style w:type="table" w:styleId="74">
    <w:name w:val="Grid Table 4"/>
    <w:basedOn w:val="646"/>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Color="text1" w:themeTint="34"/>
      </w:tcPr>
    </w:tblStylePr>
    <w:tblStylePr w:type="band1Vert">
      <w:rPr>
        <w:rFonts w:ascii="Arial" w:hAnsi="Arial"/>
        <w:color w:val="404040"/>
        <w:sz w:val="22"/>
      </w:rPr>
      <w:tcPr>
        <w:shd w:val="clear" w:color="FFFFFF" w:themeColor="text1" w:themeTint="34"/>
      </w:tcPr>
    </w:tblStylePr>
    <w:tblStylePr w:type="firstCol">
      <w:rPr>
        <w:b/>
        <w:color w:val="404040"/>
      </w:rPr>
    </w:tblStylePr>
    <w:tblStylePr w:type="firstRow">
      <w:rPr>
        <w:rFonts w:ascii="Arial" w:hAnsi="Arial"/>
        <w:b/>
        <w:color w:val="FFFFFF"/>
        <w:sz w:val="22"/>
      </w:rPr>
      <w:tcPr>
        <w:shd w:val="clear" w:color="FFFFFF" w:themeColor="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75">
    <w:name w:val="Grid Table 4 - Accent 1"/>
    <w:basedOn w:val="646"/>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Color="accent1" w:themeTint="32"/>
      </w:tcPr>
    </w:tblStylePr>
    <w:tblStylePr w:type="band1Vert">
      <w:rPr>
        <w:rFonts w:ascii="Arial" w:hAnsi="Arial"/>
        <w:color w:val="404040"/>
        <w:sz w:val="22"/>
      </w:rPr>
      <w:tcPr>
        <w:shd w:val="clear" w:color="FFFFFF" w:themeColor="accent1" w:themeTint="32"/>
      </w:tcPr>
    </w:tblStylePr>
    <w:tblStylePr w:type="firstCol">
      <w:rPr>
        <w:b/>
        <w:color w:val="404040"/>
      </w:rPr>
    </w:tblStylePr>
    <w:tblStylePr w:type="firstRow">
      <w:rPr>
        <w:rFonts w:ascii="Arial" w:hAnsi="Arial"/>
        <w:b/>
        <w:color w:val="FFFFFF"/>
        <w:sz w:val="22"/>
      </w:rPr>
      <w:tcPr>
        <w:shd w:val="clear" w:color="FFFFFF" w:themeColor="accent1" w:theme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76">
    <w:name w:val="Grid Table 4 - Accent 2"/>
    <w:basedOn w:val="646"/>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Color="accent2" w:themeTint="32"/>
      </w:tcPr>
    </w:tblStylePr>
    <w:tblStylePr w:type="band1Vert">
      <w:rPr>
        <w:rFonts w:ascii="Arial" w:hAnsi="Arial"/>
        <w:color w:val="404040"/>
        <w:sz w:val="22"/>
      </w:rPr>
      <w:tcPr>
        <w:shd w:val="clear" w:color="FFFFFF" w:themeColor="accent2" w:themeTint="32"/>
      </w:tcPr>
    </w:tblStylePr>
    <w:tblStylePr w:type="firstCol">
      <w:rPr>
        <w:b/>
        <w:color w:val="404040"/>
      </w:rPr>
    </w:tblStylePr>
    <w:tblStylePr w:type="firstRow">
      <w:rPr>
        <w:rFonts w:ascii="Arial" w:hAnsi="Arial"/>
        <w:b/>
        <w:color w:val="FFFFFF"/>
        <w:sz w:val="22"/>
      </w:rPr>
      <w:tcPr>
        <w:shd w:val="clear" w:color="FFFFFF" w:themeColor="accent2" w:theme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77">
    <w:name w:val="Grid Table 4 - Accent 3"/>
    <w:basedOn w:val="646"/>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Color="accent3" w:themeTint="34"/>
      </w:tcPr>
    </w:tblStylePr>
    <w:tblStylePr w:type="band1Vert">
      <w:rPr>
        <w:rFonts w:ascii="Arial" w:hAnsi="Arial"/>
        <w:color w:val="404040"/>
        <w:sz w:val="22"/>
      </w:rPr>
      <w:tcPr>
        <w:shd w:val="clear" w:color="FFFFFF" w:themeColor="accent3" w:themeTint="34"/>
      </w:tcPr>
    </w:tblStylePr>
    <w:tblStylePr w:type="firstCol">
      <w:rPr>
        <w:b/>
        <w:color w:val="404040"/>
      </w:rPr>
    </w:tblStylePr>
    <w:tblStylePr w:type="firstRow">
      <w:rPr>
        <w:rFonts w:ascii="Arial" w:hAnsi="Arial"/>
        <w:b/>
        <w:color w:val="FFFFFF"/>
        <w:sz w:val="22"/>
      </w:rPr>
      <w:tcPr>
        <w:shd w:val="clear" w:color="FFFFFF" w:themeColor="accent3" w:theme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78">
    <w:name w:val="Grid Table 4 - Accent 4"/>
    <w:basedOn w:val="646"/>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Color="accent4" w:themeTint="34"/>
      </w:tcPr>
    </w:tblStylePr>
    <w:tblStylePr w:type="band1Vert">
      <w:rPr>
        <w:rFonts w:ascii="Arial" w:hAnsi="Arial"/>
        <w:color w:val="404040"/>
        <w:sz w:val="22"/>
      </w:rPr>
      <w:tcPr>
        <w:shd w:val="clear" w:color="FFFFFF" w:themeColor="accent4" w:themeTint="34"/>
      </w:tcPr>
    </w:tblStylePr>
    <w:tblStylePr w:type="firstCol">
      <w:rPr>
        <w:b/>
        <w:color w:val="404040"/>
      </w:rPr>
    </w:tblStylePr>
    <w:tblStylePr w:type="firstRow">
      <w:rPr>
        <w:rFonts w:ascii="Arial" w:hAnsi="Arial"/>
        <w:b/>
        <w:color w:val="FFFFFF"/>
        <w:sz w:val="22"/>
      </w:rPr>
      <w:tcPr>
        <w:shd w:val="clear" w:color="FFFFFF" w:themeColor="accent4" w:theme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79">
    <w:name w:val="Grid Table 4 - Accent 5"/>
    <w:basedOn w:val="646"/>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Color="accent5" w:themeTint="34"/>
      </w:tcPr>
    </w:tblStylePr>
    <w:tblStylePr w:type="band1Vert">
      <w:rPr>
        <w:rFonts w:ascii="Arial" w:hAnsi="Arial"/>
        <w:color w:val="404040"/>
        <w:sz w:val="22"/>
      </w:rPr>
      <w:tcPr>
        <w:shd w:val="clear" w:color="FFFFFF" w:themeColor="accent5" w:themeTint="34"/>
      </w:tcPr>
    </w:tblStylePr>
    <w:tblStylePr w:type="firstCol">
      <w:rPr>
        <w:b/>
        <w:color w:val="404040"/>
      </w:rPr>
    </w:tblStylePr>
    <w:tblStylePr w:type="firstRow">
      <w:rPr>
        <w:rFonts w:ascii="Arial" w:hAnsi="Arial"/>
        <w:b/>
        <w:color w:val="FFFFFF"/>
        <w:sz w:val="22"/>
      </w:rPr>
      <w:tcPr>
        <w:shd w:val="clear" w:color="FFFFFF" w:themeColor="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80">
    <w:name w:val="Grid Table 4 - Accent 6"/>
    <w:basedOn w:val="646"/>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Color="accent6" w:themeTint="34"/>
      </w:tcPr>
    </w:tblStylePr>
    <w:tblStylePr w:type="band1Vert">
      <w:rPr>
        <w:rFonts w:ascii="Arial" w:hAnsi="Arial"/>
        <w:color w:val="404040"/>
        <w:sz w:val="22"/>
      </w:rPr>
      <w:tcPr>
        <w:shd w:val="clear" w:color="FFFFFF" w:themeColor="accent6" w:themeTint="34"/>
      </w:tcPr>
    </w:tblStylePr>
    <w:tblStylePr w:type="firstCol">
      <w:rPr>
        <w:b/>
        <w:color w:val="404040"/>
      </w:rPr>
    </w:tblStylePr>
    <w:tblStylePr w:type="firstRow">
      <w:rPr>
        <w:rFonts w:ascii="Arial" w:hAnsi="Arial"/>
        <w:b/>
        <w:color w:val="FFFFFF"/>
        <w:sz w:val="22"/>
      </w:rPr>
      <w:tcPr>
        <w:shd w:val="clear" w:color="FFFFFF" w:themeColor="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81">
    <w:name w:val="Grid Table 5 Dark"/>
    <w:basedOn w:val="64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text1" w:themeTint="40"/>
    </w:tblPr>
    <w:tblStylePr w:type="band1Horz">
      <w:tcPr>
        <w:shd w:val="clear" w:color="FFFFFF" w:themeColor="text1" w:themeTint="75"/>
      </w:tcPr>
    </w:tblStylePr>
    <w:tblStylePr w:type="band1Vert">
      <w:tcPr>
        <w:shd w:val="clear" w:color="FFFFFF" w:themeColor="text1" w:themeTint="75"/>
      </w:tcPr>
    </w:tblStylePr>
    <w:tblStylePr w:type="firstCol">
      <w:rPr>
        <w:rFonts w:ascii="Arial" w:hAnsi="Arial"/>
        <w:b/>
        <w:color w:val="FFFFFF"/>
        <w:sz w:val="22"/>
      </w:rPr>
      <w:tcPr>
        <w:shd w:val="clear" w:color="FFFFFF" w:themeColor="text1"/>
      </w:tcPr>
    </w:tblStylePr>
    <w:tblStylePr w:type="firstRow">
      <w:rPr>
        <w:rFonts w:ascii="Arial" w:hAnsi="Arial"/>
        <w:b/>
        <w:color w:val="FFFFFF"/>
        <w:sz w:val="22"/>
      </w:rPr>
      <w:tcPr>
        <w:shd w:val="clear" w:color="FFFFFF" w:themeColor="text1"/>
      </w:tcPr>
    </w:tblStylePr>
    <w:tblStylePr w:type="lastCol">
      <w:rPr>
        <w:rFonts w:ascii="Arial" w:hAnsi="Arial"/>
        <w:b/>
        <w:color w:val="FFFFFF"/>
        <w:sz w:val="22"/>
      </w:rPr>
      <w:tcPr>
        <w:shd w:val="clear" w:color="FFFFFF" w:themeColor="text1"/>
      </w:tcPr>
    </w:tblStylePr>
    <w:tblStylePr w:type="lastRow">
      <w:rPr>
        <w:rFonts w:ascii="Arial" w:hAnsi="Arial"/>
        <w:b/>
        <w:color w:val="FFFFFF"/>
        <w:sz w:val="22"/>
      </w:rPr>
      <w:tcPr>
        <w:shd w:val="clear" w:color="FFFFFF" w:themeColor="text1"/>
        <w:tcBorders>
          <w:top w:val="single" w:color="000000" w:sz="4" w:space="0" w:themeColor="light1"/>
        </w:tcBorders>
      </w:tcPr>
    </w:tblStylePr>
  </w:style>
  <w:style w:type="table" w:styleId="82">
    <w:name w:val="Grid Table 5 Dark- Accent 1"/>
    <w:basedOn w:val="64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1" w:themeTint="34"/>
    </w:tblPr>
    <w:tblStylePr w:type="band1Horz">
      <w:tcPr>
        <w:shd w:val="clear" w:color="FFFFFF" w:themeColor="accent1" w:themeTint="75"/>
      </w:tcPr>
    </w:tblStylePr>
    <w:tblStylePr w:type="band1Vert">
      <w:tcPr>
        <w:shd w:val="clear" w:color="FFFFFF" w:themeColor="accent1" w:themeTint="75"/>
      </w:tcPr>
    </w:tblStylePr>
    <w:tblStylePr w:type="firstCol">
      <w:rPr>
        <w:rFonts w:ascii="Arial" w:hAnsi="Arial"/>
        <w:b/>
        <w:color w:val="FFFFFF"/>
        <w:sz w:val="22"/>
      </w:rPr>
      <w:tcPr>
        <w:shd w:val="clear" w:color="FFFFFF" w:themeColor="accent1"/>
      </w:tcPr>
    </w:tblStylePr>
    <w:tblStylePr w:type="firstRow">
      <w:rPr>
        <w:rFonts w:ascii="Arial" w:hAnsi="Arial"/>
        <w:b/>
        <w:color w:val="FFFFFF"/>
        <w:sz w:val="22"/>
      </w:rPr>
      <w:tcPr>
        <w:shd w:val="clear" w:color="FFFFFF" w:themeColor="accent1"/>
      </w:tcPr>
    </w:tblStylePr>
    <w:tblStylePr w:type="lastCol">
      <w:rPr>
        <w:rFonts w:ascii="Arial" w:hAnsi="Arial"/>
        <w:b/>
        <w:color w:val="FFFFFF"/>
        <w:sz w:val="22"/>
      </w:rPr>
      <w:tcPr>
        <w:shd w:val="clear" w:color="FFFFFF" w:themeColor="accent1"/>
      </w:tcPr>
    </w:tblStylePr>
    <w:tblStylePr w:type="lastRow">
      <w:rPr>
        <w:rFonts w:ascii="Arial" w:hAnsi="Arial"/>
        <w:b/>
        <w:color w:val="FFFFFF"/>
        <w:sz w:val="22"/>
      </w:rPr>
      <w:tcPr>
        <w:shd w:val="clear" w:color="FFFFFF" w:themeColor="accent1"/>
        <w:tcBorders>
          <w:top w:val="single" w:color="000000" w:sz="4" w:space="0" w:themeColor="light1"/>
        </w:tcBorders>
      </w:tcPr>
    </w:tblStylePr>
  </w:style>
  <w:style w:type="table" w:styleId="83">
    <w:name w:val="Grid Table 5 Dark - Accent 2"/>
    <w:basedOn w:val="64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2" w:themeTint="32"/>
    </w:tblPr>
    <w:tblStylePr w:type="band1Horz">
      <w:tcPr>
        <w:shd w:val="clear" w:color="FFFFFF" w:themeColor="accent2" w:themeTint="75"/>
      </w:tcPr>
    </w:tblStylePr>
    <w:tblStylePr w:type="band1Vert">
      <w:tcPr>
        <w:shd w:val="clear" w:color="FFFFFF" w:themeColor="accent2" w:themeTint="75"/>
      </w:tcPr>
    </w:tblStylePr>
    <w:tblStylePr w:type="firstCol">
      <w:rPr>
        <w:rFonts w:ascii="Arial" w:hAnsi="Arial"/>
        <w:b/>
        <w:color w:val="FFFFFF"/>
        <w:sz w:val="22"/>
      </w:rPr>
      <w:tcPr>
        <w:shd w:val="clear" w:color="FFFFFF" w:themeColor="accent2"/>
      </w:tcPr>
    </w:tblStylePr>
    <w:tblStylePr w:type="firstRow">
      <w:rPr>
        <w:rFonts w:ascii="Arial" w:hAnsi="Arial"/>
        <w:b/>
        <w:color w:val="FFFFFF"/>
        <w:sz w:val="22"/>
      </w:rPr>
      <w:tcPr>
        <w:shd w:val="clear" w:color="FFFFFF" w:themeColor="accent2"/>
      </w:tcPr>
    </w:tblStylePr>
    <w:tblStylePr w:type="lastCol">
      <w:rPr>
        <w:rFonts w:ascii="Arial" w:hAnsi="Arial"/>
        <w:b/>
        <w:color w:val="FFFFFF"/>
        <w:sz w:val="22"/>
      </w:rPr>
      <w:tcPr>
        <w:shd w:val="clear" w:color="FFFFFF" w:themeColor="accent2"/>
      </w:tcPr>
    </w:tblStylePr>
    <w:tblStylePr w:type="lastRow">
      <w:rPr>
        <w:rFonts w:ascii="Arial" w:hAnsi="Arial"/>
        <w:b/>
        <w:color w:val="FFFFFF"/>
        <w:sz w:val="22"/>
      </w:rPr>
      <w:tcPr>
        <w:shd w:val="clear" w:color="FFFFFF" w:themeColor="accent2"/>
        <w:tcBorders>
          <w:top w:val="single" w:color="000000" w:sz="4" w:space="0" w:themeColor="light1"/>
        </w:tcBorders>
      </w:tcPr>
    </w:tblStylePr>
  </w:style>
  <w:style w:type="table" w:styleId="84">
    <w:name w:val="Grid Table 5 Dark - Accent 3"/>
    <w:basedOn w:val="64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3" w:themeTint="34"/>
    </w:tblPr>
    <w:tblStylePr w:type="band1Horz">
      <w:tcPr>
        <w:shd w:val="clear" w:color="FFFFFF" w:themeColor="accent3" w:themeTint="75"/>
      </w:tcPr>
    </w:tblStylePr>
    <w:tblStylePr w:type="band1Vert">
      <w:tcPr>
        <w:shd w:val="clear" w:color="FFFFFF" w:themeColor="accent3" w:themeTint="75"/>
      </w:tcPr>
    </w:tblStylePr>
    <w:tblStylePr w:type="firstCol">
      <w:rPr>
        <w:rFonts w:ascii="Arial" w:hAnsi="Arial"/>
        <w:b/>
        <w:color w:val="FFFFFF"/>
        <w:sz w:val="22"/>
      </w:rPr>
      <w:tcPr>
        <w:shd w:val="clear" w:color="FFFFFF" w:themeColor="accent3"/>
      </w:tcPr>
    </w:tblStylePr>
    <w:tblStylePr w:type="firstRow">
      <w:rPr>
        <w:rFonts w:ascii="Arial" w:hAnsi="Arial"/>
        <w:b/>
        <w:color w:val="FFFFFF"/>
        <w:sz w:val="22"/>
      </w:rPr>
      <w:tcPr>
        <w:shd w:val="clear" w:color="FFFFFF" w:themeColor="accent3"/>
      </w:tcPr>
    </w:tblStylePr>
    <w:tblStylePr w:type="lastCol">
      <w:rPr>
        <w:rFonts w:ascii="Arial" w:hAnsi="Arial"/>
        <w:b/>
        <w:color w:val="FFFFFF"/>
        <w:sz w:val="22"/>
      </w:rPr>
      <w:tcPr>
        <w:shd w:val="clear" w:color="FFFFFF" w:themeColor="accent3"/>
      </w:tcPr>
    </w:tblStylePr>
    <w:tblStylePr w:type="lastRow">
      <w:rPr>
        <w:rFonts w:ascii="Arial" w:hAnsi="Arial"/>
        <w:b/>
        <w:color w:val="FFFFFF"/>
        <w:sz w:val="22"/>
      </w:rPr>
      <w:tcPr>
        <w:shd w:val="clear" w:color="FFFFFF" w:themeColor="accent3"/>
        <w:tcBorders>
          <w:top w:val="single" w:color="000000" w:sz="4" w:space="0" w:themeColor="light1"/>
        </w:tcBorders>
      </w:tcPr>
    </w:tblStylePr>
  </w:style>
  <w:style w:type="table" w:styleId="85">
    <w:name w:val="Grid Table 5 Dark- Accent 4"/>
    <w:basedOn w:val="64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4" w:themeTint="34"/>
    </w:tblPr>
    <w:tblStylePr w:type="band1Horz">
      <w:tcPr>
        <w:shd w:val="clear" w:color="FFFFFF" w:themeColor="accent4" w:themeTint="75"/>
      </w:tcPr>
    </w:tblStylePr>
    <w:tblStylePr w:type="band1Vert">
      <w:tcPr>
        <w:shd w:val="clear" w:color="FFFFFF" w:themeColor="accent4" w:themeTint="75"/>
      </w:tcPr>
    </w:tblStylePr>
    <w:tblStylePr w:type="firstCol">
      <w:rPr>
        <w:rFonts w:ascii="Arial" w:hAnsi="Arial"/>
        <w:b/>
        <w:color w:val="FFFFFF"/>
        <w:sz w:val="22"/>
      </w:rPr>
      <w:tcPr>
        <w:shd w:val="clear" w:color="FFFFFF" w:themeColor="accent4"/>
      </w:tcPr>
    </w:tblStylePr>
    <w:tblStylePr w:type="firstRow">
      <w:rPr>
        <w:rFonts w:ascii="Arial" w:hAnsi="Arial"/>
        <w:b/>
        <w:color w:val="FFFFFF"/>
        <w:sz w:val="22"/>
      </w:rPr>
      <w:tcPr>
        <w:shd w:val="clear" w:color="FFFFFF" w:themeColor="accent4"/>
      </w:tcPr>
    </w:tblStylePr>
    <w:tblStylePr w:type="lastCol">
      <w:rPr>
        <w:rFonts w:ascii="Arial" w:hAnsi="Arial"/>
        <w:b/>
        <w:color w:val="FFFFFF"/>
        <w:sz w:val="22"/>
      </w:rPr>
      <w:tcPr>
        <w:shd w:val="clear" w:color="FFFFFF" w:themeColor="accent4"/>
      </w:tcPr>
    </w:tblStylePr>
    <w:tblStylePr w:type="lastRow">
      <w:rPr>
        <w:rFonts w:ascii="Arial" w:hAnsi="Arial"/>
        <w:b/>
        <w:color w:val="FFFFFF"/>
        <w:sz w:val="22"/>
      </w:rPr>
      <w:tcPr>
        <w:shd w:val="clear" w:color="FFFFFF" w:themeColor="accent4"/>
        <w:tcBorders>
          <w:top w:val="single" w:color="000000" w:sz="4" w:space="0" w:themeColor="light1"/>
        </w:tcBorders>
      </w:tcPr>
    </w:tblStylePr>
  </w:style>
  <w:style w:type="table" w:styleId="86">
    <w:name w:val="Grid Table 5 Dark - Accent 5"/>
    <w:basedOn w:val="64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5" w:themeTint="34"/>
    </w:tblPr>
    <w:tblStylePr w:type="band1Horz">
      <w:tcPr>
        <w:shd w:val="clear" w:color="FFFFFF" w:themeColor="accent5" w:themeTint="75"/>
      </w:tcPr>
    </w:tblStylePr>
    <w:tblStylePr w:type="band1Vert">
      <w:tcPr>
        <w:shd w:val="clear" w:color="FFFFFF" w:themeColor="accent5" w:themeTint="75"/>
      </w:tcPr>
    </w:tblStylePr>
    <w:tblStylePr w:type="firstCol">
      <w:rPr>
        <w:rFonts w:ascii="Arial" w:hAnsi="Arial"/>
        <w:b/>
        <w:color w:val="FFFFFF"/>
        <w:sz w:val="22"/>
      </w:rPr>
      <w:tcPr>
        <w:shd w:val="clear" w:color="FFFFFF" w:themeColor="accent5"/>
      </w:tcPr>
    </w:tblStylePr>
    <w:tblStylePr w:type="firstRow">
      <w:rPr>
        <w:rFonts w:ascii="Arial" w:hAnsi="Arial"/>
        <w:b/>
        <w:color w:val="FFFFFF"/>
        <w:sz w:val="22"/>
      </w:rPr>
      <w:tcPr>
        <w:shd w:val="clear" w:color="FFFFFF" w:themeColor="accent5"/>
      </w:tcPr>
    </w:tblStylePr>
    <w:tblStylePr w:type="lastCol">
      <w:rPr>
        <w:rFonts w:ascii="Arial" w:hAnsi="Arial"/>
        <w:b/>
        <w:color w:val="FFFFFF"/>
        <w:sz w:val="22"/>
      </w:rPr>
      <w:tcPr>
        <w:shd w:val="clear" w:color="FFFFFF" w:themeColor="accent5"/>
      </w:tcPr>
    </w:tblStylePr>
    <w:tblStylePr w:type="lastRow">
      <w:rPr>
        <w:rFonts w:ascii="Arial" w:hAnsi="Arial"/>
        <w:b/>
        <w:color w:val="FFFFFF"/>
        <w:sz w:val="22"/>
      </w:rPr>
      <w:tcPr>
        <w:shd w:val="clear" w:color="FFFFFF" w:themeColor="accent5"/>
        <w:tcBorders>
          <w:top w:val="single" w:color="000000" w:sz="4" w:space="0" w:themeColor="light1"/>
        </w:tcBorders>
      </w:tcPr>
    </w:tblStylePr>
  </w:style>
  <w:style w:type="table" w:styleId="87">
    <w:name w:val="Grid Table 5 Dark - Accent 6"/>
    <w:basedOn w:val="646"/>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FFFFFF" w:themeColor="accent6" w:themeTint="34"/>
    </w:tblPr>
    <w:tblStylePr w:type="band1Horz">
      <w:tcPr>
        <w:shd w:val="clear" w:color="FFFFFF" w:themeColor="accent6" w:themeTint="75"/>
      </w:tcPr>
    </w:tblStylePr>
    <w:tblStylePr w:type="band1Vert">
      <w:tcPr>
        <w:shd w:val="clear" w:color="FFFFFF" w:themeColor="accent6" w:themeTint="75"/>
      </w:tcPr>
    </w:tblStylePr>
    <w:tblStylePr w:type="firstCol">
      <w:rPr>
        <w:rFonts w:ascii="Arial" w:hAnsi="Arial"/>
        <w:b/>
        <w:color w:val="FFFFFF"/>
        <w:sz w:val="22"/>
      </w:rPr>
      <w:tcPr>
        <w:shd w:val="clear" w:color="FFFFFF" w:themeColor="accent6"/>
      </w:tcPr>
    </w:tblStylePr>
    <w:tblStylePr w:type="firstRow">
      <w:rPr>
        <w:rFonts w:ascii="Arial" w:hAnsi="Arial"/>
        <w:b/>
        <w:color w:val="FFFFFF"/>
        <w:sz w:val="22"/>
      </w:rPr>
      <w:tcPr>
        <w:shd w:val="clear" w:color="FFFFFF" w:themeColor="accent6"/>
      </w:tcPr>
    </w:tblStylePr>
    <w:tblStylePr w:type="lastCol">
      <w:rPr>
        <w:rFonts w:ascii="Arial" w:hAnsi="Arial"/>
        <w:b/>
        <w:color w:val="FFFFFF"/>
        <w:sz w:val="22"/>
      </w:rPr>
      <w:tcPr>
        <w:shd w:val="clear" w:color="FFFFFF" w:themeColor="accent6"/>
      </w:tcPr>
    </w:tblStylePr>
    <w:tblStylePr w:type="lastRow">
      <w:rPr>
        <w:rFonts w:ascii="Arial" w:hAnsi="Arial"/>
        <w:b/>
        <w:color w:val="FFFFFF"/>
        <w:sz w:val="22"/>
      </w:rPr>
      <w:tcPr>
        <w:shd w:val="clear" w:color="FFFFFF" w:themeColor="accent6"/>
        <w:tcBorders>
          <w:top w:val="single" w:color="000000" w:sz="4" w:space="0" w:themeColor="light1"/>
        </w:tcBorders>
      </w:tcPr>
    </w:tblStylePr>
  </w:style>
  <w:style w:type="table" w:styleId="88">
    <w:name w:val="Grid Table 6 Colorful"/>
    <w:basedOn w:val="646"/>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FFFFFF" w:themeColor="text1" w:themeTint="34"/>
      </w:tcPr>
    </w:tblStylePr>
    <w:tblStylePr w:type="band1Vert">
      <w:tcPr>
        <w:shd w:val="clear" w:color="FFFFFF" w:themeColor="text1" w:theme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646"/>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FFFFFF" w:themeColor="accent1" w:themeTint="34"/>
      </w:tcPr>
    </w:tblStylePr>
    <w:tblStylePr w:type="band1Vert">
      <w:tcPr>
        <w:shd w:val="clear" w:color="FFFFFF" w:themeColor="accent1" w:theme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sz="12" w:space="0" w:themeColor="accent1" w:themeTint="8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646"/>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FFFFFF" w:themeColor="accent2" w:themeTint="32"/>
      </w:tcPr>
    </w:tblStylePr>
    <w:tblStylePr w:type="band1Vert">
      <w:tcPr>
        <w:shd w:val="clear" w:color="FFFFFF" w:themeColor="accent2" w:theme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12"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646"/>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FFFFFF" w:themeColor="accent3" w:themeTint="34"/>
      </w:tcPr>
    </w:tblStylePr>
    <w:tblStylePr w:type="band1Vert">
      <w:tcPr>
        <w:shd w:val="clear" w:color="FFFFFF" w:themeColor="accent3" w:theme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sz="12" w:space="0" w:themeColor="accent3" w:themeTint="FE"/>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646"/>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FFFFFF" w:themeColor="accent4" w:themeTint="34"/>
      </w:tcPr>
    </w:tblStylePr>
    <w:tblStylePr w:type="band1Vert">
      <w:tcPr>
        <w:shd w:val="clear" w:color="FFFFFF" w:themeColor="accent4" w:theme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12"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646"/>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FFFFFF" w:themeColor="accent5" w:themeTint="34"/>
      </w:tcPr>
    </w:tblStylePr>
    <w:tblStylePr w:type="band1Vert">
      <w:tcPr>
        <w:shd w:val="clear" w:color="FFFFFF" w:themeColor="accent5" w:theme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5"/>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646"/>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FFFFFF" w:themeColor="accent6" w:themeTint="34"/>
      </w:tcPr>
    </w:tblStylePr>
    <w:tblStylePr w:type="band1Vert">
      <w:tcPr>
        <w:shd w:val="clear" w:color="FFFFFF" w:themeColor="accent6" w:theme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6"/>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
    <w:name w:val="Grid Table 7 Colorful"/>
    <w:basedOn w:val="646"/>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FFFFFF" w:themeColor="text1" w:themeTint="0D"/>
      </w:tcPr>
    </w:tblStylePr>
    <w:tblStylePr w:type="band1Vert">
      <w:tcPr>
        <w:shd w:val="clear" w:color="FFFFFF" w:themeColor="text1" w:theme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b/>
        <w:color w:val="4A4A4A" w:themeColor="text1" w:themeTint="80" w:themeShade="95"/>
        <w:sz w:val="22"/>
      </w:rPr>
      <w:tcPr>
        <w:shd w:val="clear" w:color="FFFFFF"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b/>
        <w:color w:val="4A4A4A" w:themeColor="text1" w:themeTint="80" w:themeShade="95"/>
        <w:sz w:val="22"/>
      </w:rPr>
      <w:tcPr>
        <w:shd w:val="clear" w:color="FFFFFF" w:themeColor="light1"/>
        <w:tcBorders>
          <w:left w:val="none"/>
          <w:top w:val="single" w:color="000000" w:sz="4" w:space="0" w:themeColor="text1" w:themeTint="80"/>
          <w:right w:val="none"/>
          <w:bottom w:val="none"/>
        </w:tcBorders>
      </w:tcPr>
    </w:tblStylePr>
  </w:style>
  <w:style w:type="table" w:styleId="96">
    <w:name w:val="Grid Table 7 Colorful - Accent 1"/>
    <w:basedOn w:val="646"/>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E70A3" w:themeColor="accent1" w:themeTint="80" w:themeShade="95"/>
        <w:sz w:val="22"/>
      </w:rPr>
      <w:tcPr>
        <w:shd w:val="clear" w:color="FFFFFF" w:themeColor="accent1" w:themeTint="34"/>
      </w:tcPr>
    </w:tblStylePr>
    <w:tblStylePr w:type="band1Vert">
      <w:tcPr>
        <w:shd w:val="clear" w:color="FFFFFF" w:themeColor="accent1" w:theme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left w:val="none"/>
          <w:top w:val="none"/>
          <w:right w:val="single" w:color="000000" w:sz="4" w:space="0" w:themeColor="accent1" w:themeTint="80"/>
          <w:bottom w:val="none"/>
        </w:tcBorders>
      </w:tcPr>
    </w:tblStylePr>
    <w:tblStylePr w:type="firstRow">
      <w:rPr>
        <w:rFonts w:ascii="Arial" w:hAnsi="Arial"/>
        <w:b/>
        <w:color w:val="3E70A3" w:themeColor="accent1" w:themeTint="80" w:themeShade="95"/>
        <w:sz w:val="22"/>
      </w:rPr>
      <w:tcPr>
        <w:shd w:val="clear" w:color="FFFFFF" w:themeColor="light1"/>
        <w:tcBorders>
          <w:left w:val="none"/>
          <w:top w:val="none"/>
          <w:right w:val="none"/>
          <w:bottom w:val="single" w:color="000000" w:sz="4" w:space="0" w:themeColor="accent1" w:themeTint="80"/>
        </w:tcBorders>
      </w:tcPr>
    </w:tblStylePr>
    <w:tblStylePr w:type="lastCol">
      <w:rPr>
        <w:rFonts w:ascii="Arial" w:hAnsi="Arial"/>
        <w:i/>
        <w:color w:val="3E70A3" w:themeColor="accent1" w:themeTint="80" w:themeShade="95"/>
        <w:sz w:val="22"/>
      </w:rPr>
      <w:tcPr>
        <w:shd w:color="FFFFFF"/>
        <w:tcBorders>
          <w:left w:val="single" w:color="000000" w:sz="4" w:space="0" w:themeColor="accent1" w:themeTint="80"/>
          <w:top w:val="none"/>
          <w:right w:val="none"/>
          <w:bottom w:val="none"/>
        </w:tcBorders>
      </w:tcPr>
    </w:tblStylePr>
    <w:tblStylePr w:type="lastRow">
      <w:rPr>
        <w:rFonts w:ascii="Arial" w:hAnsi="Arial"/>
        <w:b/>
        <w:color w:val="3E70A3" w:themeColor="accent1" w:themeTint="80" w:themeShade="95"/>
        <w:sz w:val="22"/>
      </w:rPr>
      <w:tcPr>
        <w:shd w:val="clear" w:color="FFFFFF" w:themeColor="light1"/>
        <w:tcBorders>
          <w:left w:val="none"/>
          <w:top w:val="single" w:color="000000" w:sz="4" w:space="0" w:themeColor="accent1" w:themeTint="80"/>
          <w:right w:val="none"/>
          <w:bottom w:val="none"/>
        </w:tcBorders>
      </w:tcPr>
    </w:tblStylePr>
  </w:style>
  <w:style w:type="table" w:styleId="97">
    <w:name w:val="Grid Table 7 Colorful - Accent 2"/>
    <w:basedOn w:val="646"/>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9C3A37" w:themeColor="accent2" w:themeTint="97" w:themeShade="95"/>
        <w:sz w:val="22"/>
      </w:rPr>
      <w:tcPr>
        <w:shd w:val="clear" w:color="FFFFFF" w:themeColor="accent2" w:themeTint="32"/>
      </w:tcPr>
    </w:tblStylePr>
    <w:tblStylePr w:type="band1Vert">
      <w:tcPr>
        <w:shd w:val="clear" w:color="FFFFFF" w:themeColor="accent2" w:theme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b/>
        <w:color w:val="9C3A37" w:themeColor="accent2" w:themeTint="97" w:themeShade="95"/>
        <w:sz w:val="22"/>
      </w:rPr>
      <w:tcPr>
        <w:shd w:val="clear" w:color="FFFFFF" w:themeColor="light1"/>
        <w:tcBorders>
          <w:left w:val="none"/>
          <w:top w:val="none"/>
          <w:right w:val="none"/>
          <w:bottom w:val="single" w:color="000000" w:sz="4" w:space="0" w:themeColor="accent2" w:themeTint="97"/>
        </w:tcBorders>
      </w:tcPr>
    </w:tblStylePr>
    <w:tblStylePr w:type="lastCol">
      <w:rPr>
        <w:rFonts w:ascii="Arial" w:hAnsi="Arial"/>
        <w:i/>
        <w:color w:val="9C3A37"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b/>
        <w:color w:val="9C3A37" w:themeColor="accent2" w:themeTint="97" w:themeShade="95"/>
        <w:sz w:val="22"/>
      </w:rPr>
      <w:tcPr>
        <w:shd w:val="clear" w:color="FFFFFF" w:themeColor="light1"/>
        <w:tcBorders>
          <w:left w:val="none"/>
          <w:top w:val="single" w:color="000000" w:sz="4" w:space="0" w:themeColor="accent2" w:themeTint="97"/>
          <w:right w:val="none"/>
          <w:bottom w:val="none"/>
        </w:tcBorders>
      </w:tcPr>
    </w:tblStylePr>
  </w:style>
  <w:style w:type="table" w:styleId="98">
    <w:name w:val="Grid Table 7 Colorful - Accent 3"/>
    <w:basedOn w:val="646"/>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5C702F" w:themeColor="accent3" w:themeTint="FE" w:themeShade="95"/>
        <w:sz w:val="22"/>
      </w:rPr>
      <w:tcPr>
        <w:shd w:val="clear" w:color="FFFFFF" w:themeColor="accent3" w:themeTint="34"/>
      </w:tcPr>
    </w:tblStylePr>
    <w:tblStylePr w:type="band1Vert">
      <w:tcPr>
        <w:shd w:val="clear" w:color="FFFFFF" w:themeColor="accent3" w:theme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left w:val="none"/>
          <w:top w:val="none"/>
          <w:right w:val="single" w:color="000000" w:sz="4" w:space="0" w:themeColor="accent3" w:themeTint="FE"/>
          <w:bottom w:val="none"/>
        </w:tcBorders>
      </w:tcPr>
    </w:tblStylePr>
    <w:tblStylePr w:type="firstRow">
      <w:rPr>
        <w:rFonts w:ascii="Arial" w:hAnsi="Arial"/>
        <w:b/>
        <w:color w:val="5C702F" w:themeColor="accent3" w:themeTint="FE" w:themeShade="95"/>
        <w:sz w:val="22"/>
      </w:rPr>
      <w:tcPr>
        <w:shd w:val="clear" w:color="FFFFFF" w:themeColor="light1"/>
        <w:tcBorders>
          <w:left w:val="none"/>
          <w:top w:val="none"/>
          <w:right w:val="none"/>
          <w:bottom w:val="single" w:color="000000" w:sz="4" w:space="0" w:themeColor="accent3" w:themeTint="FE"/>
        </w:tcBorders>
      </w:tcPr>
    </w:tblStylePr>
    <w:tblStylePr w:type="lastCol">
      <w:rPr>
        <w:rFonts w:ascii="Arial" w:hAnsi="Arial"/>
        <w:i/>
        <w:color w:val="5C702F" w:themeColor="accent3" w:themeTint="FE" w:themeShade="95"/>
        <w:sz w:val="22"/>
      </w:rPr>
      <w:tcPr>
        <w:shd w:color="FFFFFF"/>
        <w:tcBorders>
          <w:left w:val="single" w:color="000000" w:sz="4" w:space="0" w:themeColor="accent3" w:themeTint="FE"/>
          <w:top w:val="none"/>
          <w:right w:val="none"/>
          <w:bottom w:val="none"/>
        </w:tcBorders>
      </w:tcPr>
    </w:tblStylePr>
    <w:tblStylePr w:type="lastRow">
      <w:rPr>
        <w:rFonts w:ascii="Arial" w:hAnsi="Arial"/>
        <w:b/>
        <w:color w:val="5C702F" w:themeColor="accent3" w:themeTint="FE" w:themeShade="95"/>
        <w:sz w:val="22"/>
      </w:rPr>
      <w:tcPr>
        <w:shd w:val="clear" w:color="FFFFFF" w:themeColor="light1"/>
        <w:tcBorders>
          <w:left w:val="none"/>
          <w:top w:val="single" w:color="000000" w:sz="4" w:space="0" w:themeColor="accent3" w:themeTint="FE"/>
          <w:right w:val="none"/>
          <w:bottom w:val="none"/>
        </w:tcBorders>
      </w:tcPr>
    </w:tblStylePr>
  </w:style>
  <w:style w:type="table" w:styleId="99">
    <w:name w:val="Grid Table 7 Colorful - Accent 4"/>
    <w:basedOn w:val="646"/>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664F82" w:themeColor="accent4" w:themeTint="9A" w:themeShade="95"/>
        <w:sz w:val="22"/>
      </w:rPr>
      <w:tcPr>
        <w:shd w:val="clear" w:color="FFFFFF" w:themeColor="accent4" w:themeTint="34"/>
      </w:tcPr>
    </w:tblStylePr>
    <w:tblStylePr w:type="band1Vert">
      <w:tcPr>
        <w:shd w:val="clear" w:color="FFFFFF" w:themeColor="accent4" w:theme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b/>
        <w:color w:val="664F82" w:themeColor="accent4" w:themeTint="9A" w:themeShade="95"/>
        <w:sz w:val="22"/>
      </w:rPr>
      <w:tcPr>
        <w:shd w:val="clear" w:color="FFFFFF" w:themeColor="light1"/>
        <w:tcBorders>
          <w:left w:val="none"/>
          <w:top w:val="none"/>
          <w:right w:val="none"/>
          <w:bottom w:val="single" w:color="000000" w:sz="4" w:space="0" w:themeColor="accent4" w:themeTint="9A"/>
        </w:tcBorders>
      </w:tcPr>
    </w:tblStylePr>
    <w:tblStylePr w:type="lastCol">
      <w:rPr>
        <w:rFonts w:ascii="Arial" w:hAnsi="Arial"/>
        <w:i/>
        <w:color w:val="664F82"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b/>
        <w:color w:val="664F82" w:themeColor="accent4" w:themeTint="9A" w:themeShade="95"/>
        <w:sz w:val="22"/>
      </w:rPr>
      <w:tcPr>
        <w:shd w:val="clear" w:color="FFFFFF" w:themeColor="light1"/>
        <w:tcBorders>
          <w:left w:val="none"/>
          <w:top w:val="single" w:color="000000" w:sz="4" w:space="0" w:themeColor="accent4" w:themeTint="9A"/>
          <w:right w:val="none"/>
          <w:bottom w:val="none"/>
        </w:tcBorders>
      </w:tcPr>
    </w:tblStylePr>
  </w:style>
  <w:style w:type="table" w:styleId="100">
    <w:name w:val="Grid Table 7 Colorful - Accent 5"/>
    <w:basedOn w:val="646"/>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66777" w:themeColor="accent5" w:themeShade="95"/>
        <w:sz w:val="22"/>
      </w:rPr>
      <w:tcPr>
        <w:shd w:val="clear" w:color="FFFFFF" w:themeColor="accent5" w:themeTint="34"/>
      </w:tcPr>
    </w:tblStylePr>
    <w:tblStylePr w:type="band1Vert">
      <w:tcPr>
        <w:shd w:val="clear" w:color="FFFFFF" w:themeColor="accent5" w:theme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left w:val="none"/>
          <w:top w:val="none"/>
          <w:right w:val="single" w:color="000000" w:sz="4" w:space="0" w:themeColor="accent5" w:themeTint="90"/>
          <w:bottom w:val="none"/>
        </w:tcBorders>
      </w:tcPr>
    </w:tblStylePr>
    <w:tblStylePr w:type="firstRow">
      <w:rPr>
        <w:rFonts w:ascii="Arial" w:hAnsi="Arial"/>
        <w:b/>
        <w:color w:val="266777" w:themeColor="accent5" w:themeShade="95"/>
        <w:sz w:val="22"/>
      </w:rPr>
      <w:tcPr>
        <w:shd w:val="clear" w:color="FFFFFF" w:themeColor="light1"/>
        <w:tcBorders>
          <w:left w:val="none"/>
          <w:top w:val="none"/>
          <w:right w:val="none"/>
          <w:bottom w:val="single" w:color="000000" w:sz="4" w:space="0" w:themeColor="accent5" w:themeTint="90"/>
        </w:tcBorders>
      </w:tcPr>
    </w:tblStylePr>
    <w:tblStylePr w:type="lastCol">
      <w:rPr>
        <w:rFonts w:ascii="Arial" w:hAnsi="Arial"/>
        <w:i/>
        <w:color w:val="266777" w:themeColor="accent5" w:themeShade="95"/>
        <w:sz w:val="22"/>
      </w:rPr>
      <w:tcPr>
        <w:shd w:color="FFFFFF"/>
        <w:tcBorders>
          <w:left w:val="single" w:color="000000" w:sz="4" w:space="0" w:themeColor="accent5" w:themeTint="90"/>
          <w:top w:val="none"/>
          <w:right w:val="none"/>
          <w:bottom w:val="none"/>
        </w:tcBorders>
      </w:tcPr>
    </w:tblStylePr>
    <w:tblStylePr w:type="lastRow">
      <w:rPr>
        <w:rFonts w:ascii="Arial" w:hAnsi="Arial"/>
        <w:b/>
        <w:color w:val="266777" w:themeColor="accent5" w:themeShade="95"/>
        <w:sz w:val="22"/>
      </w:rPr>
      <w:tcPr>
        <w:shd w:val="clear" w:color="FFFFFF" w:themeColor="light1"/>
        <w:tcBorders>
          <w:left w:val="none"/>
          <w:top w:val="single" w:color="000000" w:sz="4" w:space="0" w:themeColor="accent5" w:themeTint="90"/>
          <w:right w:val="none"/>
          <w:bottom w:val="none"/>
        </w:tcBorders>
      </w:tcPr>
    </w:tblStylePr>
  </w:style>
  <w:style w:type="table" w:styleId="101">
    <w:name w:val="Grid Table 7 Colorful - Accent 6"/>
    <w:basedOn w:val="646"/>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B05307" w:themeColor="accent6" w:themeShade="95"/>
        <w:sz w:val="22"/>
      </w:rPr>
      <w:tcPr>
        <w:shd w:val="clear" w:color="FFFFFF" w:themeColor="accent6" w:themeTint="34"/>
      </w:tcPr>
    </w:tblStylePr>
    <w:tblStylePr w:type="band1Vert">
      <w:tcPr>
        <w:shd w:val="clear" w:color="FFFFFF" w:themeColor="accent6" w:theme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left w:val="none"/>
          <w:top w:val="none"/>
          <w:right w:val="single" w:color="000000" w:sz="4" w:space="0" w:themeColor="accent6" w:themeTint="90"/>
          <w:bottom w:val="none"/>
        </w:tcBorders>
      </w:tcPr>
    </w:tblStylePr>
    <w:tblStylePr w:type="firstRow">
      <w:rPr>
        <w:rFonts w:ascii="Arial" w:hAnsi="Arial"/>
        <w:b/>
        <w:color w:val="B05307" w:themeColor="accent6" w:themeShade="95"/>
        <w:sz w:val="22"/>
      </w:rPr>
      <w:tcPr>
        <w:shd w:val="clear" w:color="FFFFFF" w:themeColor="light1"/>
        <w:tcBorders>
          <w:left w:val="none"/>
          <w:top w:val="none"/>
          <w:right w:val="none"/>
          <w:bottom w:val="single" w:color="000000" w:sz="4" w:space="0" w:themeColor="accent6" w:themeTint="90"/>
        </w:tcBorders>
      </w:tcPr>
    </w:tblStylePr>
    <w:tblStylePr w:type="lastCol">
      <w:rPr>
        <w:rFonts w:ascii="Arial" w:hAnsi="Arial"/>
        <w:i/>
        <w:color w:val="B05307" w:themeColor="accent6" w:themeShade="95"/>
        <w:sz w:val="22"/>
      </w:rPr>
      <w:tcPr>
        <w:shd w:color="FFFFFF"/>
        <w:tcBorders>
          <w:left w:val="single" w:color="000000" w:sz="4" w:space="0" w:themeColor="accent6" w:themeTint="90"/>
          <w:top w:val="none"/>
          <w:right w:val="none"/>
          <w:bottom w:val="none"/>
        </w:tcBorders>
      </w:tcPr>
    </w:tblStylePr>
    <w:tblStylePr w:type="lastRow">
      <w:rPr>
        <w:rFonts w:ascii="Arial" w:hAnsi="Arial"/>
        <w:b/>
        <w:color w:val="B05307" w:themeColor="accent6" w:themeShade="95"/>
        <w:sz w:val="22"/>
      </w:rPr>
      <w:tcPr>
        <w:shd w:val="clear" w:color="FFFFFF" w:themeColor="light1"/>
        <w:tcBorders>
          <w:left w:val="none"/>
          <w:top w:val="single" w:color="000000" w:sz="4" w:space="0" w:themeColor="accent6" w:themeTint="90"/>
          <w:right w:val="none"/>
          <w:bottom w:val="none"/>
        </w:tcBorders>
      </w:tcPr>
    </w:tblStylePr>
  </w:style>
  <w:style w:type="table" w:styleId="102">
    <w:name w:val="List Table 1 Light"/>
    <w:basedOn w:val="646"/>
    <w:uiPriority w:val="99"/>
    <w:pPr>
      <w:spacing w:lineRule="auto" w:line="240" w:after="0"/>
    </w:pPr>
    <w:tblPr>
      <w:tblStyleRowBandSize w:val="1"/>
      <w:tblStyleColBandSize w:val="1"/>
      <w:tblInd w:w="0" w:type="dxa"/>
    </w:tblPr>
    <w:tblStylePr w:type="band1Horz">
      <w:tcPr>
        <w:shd w:val="clear" w:color="FFFFFF" w:themeColor="text1" w:themeTint="40"/>
      </w:tcPr>
    </w:tblStylePr>
    <w:tblStylePr w:type="band1Vert">
      <w:tcPr>
        <w:shd w:val="clear" w:color="FFFFFF" w:themeColor="tex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103">
    <w:name w:val="List Table 1 Light - Accent 1"/>
    <w:basedOn w:val="646"/>
    <w:uiPriority w:val="99"/>
    <w:pPr>
      <w:spacing w:lineRule="auto" w:line="240" w:after="0"/>
    </w:pPr>
    <w:tblPr>
      <w:tblStyleRowBandSize w:val="1"/>
      <w:tblStyleColBandSize w:val="1"/>
      <w:tblInd w:w="0" w:type="dxa"/>
    </w:tblPr>
    <w:tblStylePr w:type="band1Horz">
      <w:tcPr>
        <w:shd w:val="clear" w:color="FFFFFF" w:themeColor="accent1" w:themeTint="40"/>
      </w:tcPr>
    </w:tblStylePr>
    <w:tblStylePr w:type="band1Vert">
      <w:tcPr>
        <w:shd w:val="clear" w:color="FFFFFF" w:themeColor="accent1"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104">
    <w:name w:val="List Table 1 Light - Accent 2"/>
    <w:basedOn w:val="646"/>
    <w:uiPriority w:val="99"/>
    <w:pPr>
      <w:spacing w:lineRule="auto" w:line="240" w:after="0"/>
    </w:pPr>
    <w:tblPr>
      <w:tblStyleRowBandSize w:val="1"/>
      <w:tblStyleColBandSize w:val="1"/>
      <w:tblInd w:w="0" w:type="dxa"/>
    </w:tblPr>
    <w:tblStylePr w:type="band1Horz">
      <w:tcPr>
        <w:shd w:val="clear" w:color="FFFFFF" w:themeColor="accent2" w:themeTint="40"/>
      </w:tcPr>
    </w:tblStylePr>
    <w:tblStylePr w:type="band1Vert">
      <w:tcPr>
        <w:shd w:val="clear" w:color="FFFFFF" w:themeColor="accent2"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105">
    <w:name w:val="List Table 1 Light - Accent 3"/>
    <w:basedOn w:val="646"/>
    <w:uiPriority w:val="99"/>
    <w:pPr>
      <w:spacing w:lineRule="auto" w:line="240" w:after="0"/>
    </w:pPr>
    <w:tblPr>
      <w:tblStyleRowBandSize w:val="1"/>
      <w:tblStyleColBandSize w:val="1"/>
      <w:tblInd w:w="0" w:type="dxa"/>
    </w:tblPr>
    <w:tblStylePr w:type="band1Horz">
      <w:tcPr>
        <w:shd w:val="clear" w:color="FFFFFF" w:themeColor="accent3" w:themeTint="40"/>
      </w:tcPr>
    </w:tblStylePr>
    <w:tblStylePr w:type="band1Vert">
      <w:tcPr>
        <w:shd w:val="clear" w:color="FFFFFF" w:themeColor="accent3"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106">
    <w:name w:val="List Table 1 Light - Accent 4"/>
    <w:basedOn w:val="646"/>
    <w:uiPriority w:val="99"/>
    <w:pPr>
      <w:spacing w:lineRule="auto" w:line="240" w:after="0"/>
    </w:pPr>
    <w:tblPr>
      <w:tblStyleRowBandSize w:val="1"/>
      <w:tblStyleColBandSize w:val="1"/>
      <w:tblInd w:w="0" w:type="dxa"/>
    </w:tblPr>
    <w:tblStylePr w:type="band1Horz">
      <w:tcPr>
        <w:shd w:val="clear" w:color="FFFFFF" w:themeColor="accent4" w:themeTint="40"/>
      </w:tcPr>
    </w:tblStylePr>
    <w:tblStylePr w:type="band1Vert">
      <w:tcPr>
        <w:shd w:val="clear" w:color="FFFFFF" w:themeColor="accent4"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107">
    <w:name w:val="List Table 1 Light - Accent 5"/>
    <w:basedOn w:val="646"/>
    <w:uiPriority w:val="99"/>
    <w:pPr>
      <w:spacing w:lineRule="auto" w:line="240" w:after="0"/>
    </w:pPr>
    <w:tblPr>
      <w:tblStyleRowBandSize w:val="1"/>
      <w:tblStyleColBandSize w:val="1"/>
      <w:tblInd w:w="0" w:type="dxa"/>
    </w:tblPr>
    <w:tblStylePr w:type="band1Horz">
      <w:tcPr>
        <w:shd w:val="clear" w:color="FFFFFF" w:themeColor="accent5" w:themeTint="40"/>
      </w:tcPr>
    </w:tblStylePr>
    <w:tblStylePr w:type="band1Vert">
      <w:tcPr>
        <w:shd w:val="clear" w:color="FFFFFF" w:themeColor="accent5"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108">
    <w:name w:val="List Table 1 Light - Accent 6"/>
    <w:basedOn w:val="646"/>
    <w:uiPriority w:val="99"/>
    <w:pPr>
      <w:spacing w:lineRule="auto" w:line="240" w:after="0"/>
    </w:pPr>
    <w:tblPr>
      <w:tblStyleRowBandSize w:val="1"/>
      <w:tblStyleColBandSize w:val="1"/>
      <w:tblInd w:w="0" w:type="dxa"/>
    </w:tblPr>
    <w:tblStylePr w:type="band1Horz">
      <w:tcPr>
        <w:shd w:val="clear" w:color="FFFFFF" w:themeColor="accent6" w:themeTint="40"/>
      </w:tcPr>
    </w:tblStylePr>
    <w:tblStylePr w:type="band1Vert">
      <w:tcPr>
        <w:shd w:val="clear" w:color="FFFFFF" w:themeColor="accent6" w:theme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109">
    <w:name w:val="List Table 2"/>
    <w:basedOn w:val="646"/>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FFFFFF" w:themeColor="text1" w:themeTint="40"/>
      </w:tcPr>
    </w:tblStylePr>
    <w:tblStylePr w:type="band1Vert">
      <w:rPr>
        <w:rFonts w:ascii="Arial" w:hAnsi="Arial"/>
        <w:color w:val="404040"/>
        <w:sz w:val="22"/>
      </w:rPr>
      <w:tcPr>
        <w:shd w:val="clear" w:color="FFFFFF" w:themeColor="tex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110">
    <w:name w:val="List Table 2 - Accent 1"/>
    <w:basedOn w:val="646"/>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Color="accent1" w:themeTint="40"/>
      </w:tcPr>
    </w:tblStylePr>
    <w:tblStylePr w:type="band1Vert">
      <w:rPr>
        <w:rFonts w:ascii="Arial" w:hAnsi="Arial"/>
        <w:color w:val="404040"/>
        <w:sz w:val="22"/>
      </w:rPr>
      <w:tcPr>
        <w:shd w:val="clear" w:color="FFFFFF" w:themeColor="accent1"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111">
    <w:name w:val="List Table 2 - Accent 2"/>
    <w:basedOn w:val="646"/>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Color="accent2" w:themeTint="40"/>
      </w:tcPr>
    </w:tblStylePr>
    <w:tblStylePr w:type="band1Vert">
      <w:rPr>
        <w:rFonts w:ascii="Arial" w:hAnsi="Arial"/>
        <w:color w:val="404040"/>
        <w:sz w:val="22"/>
      </w:rPr>
      <w:tcPr>
        <w:shd w:val="clear" w:color="FFFFFF" w:themeColor="accent2"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112">
    <w:name w:val="List Table 2 - Accent 3"/>
    <w:basedOn w:val="646"/>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Color="accent3" w:themeTint="40"/>
      </w:tcPr>
    </w:tblStylePr>
    <w:tblStylePr w:type="band1Vert">
      <w:rPr>
        <w:rFonts w:ascii="Arial" w:hAnsi="Arial"/>
        <w:color w:val="404040"/>
        <w:sz w:val="22"/>
      </w:rPr>
      <w:tcPr>
        <w:shd w:val="clear" w:color="FFFFFF" w:themeColor="accent3"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113">
    <w:name w:val="List Table 2 - Accent 4"/>
    <w:basedOn w:val="646"/>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Color="accent4" w:themeTint="40"/>
      </w:tcPr>
    </w:tblStylePr>
    <w:tblStylePr w:type="band1Vert">
      <w:rPr>
        <w:rFonts w:ascii="Arial" w:hAnsi="Arial"/>
        <w:color w:val="404040"/>
        <w:sz w:val="22"/>
      </w:rPr>
      <w:tcPr>
        <w:shd w:val="clear" w:color="FFFFFF" w:themeColor="accent4"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114">
    <w:name w:val="List Table 2 - Accent 5"/>
    <w:basedOn w:val="646"/>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Color="accent5" w:themeTint="40"/>
      </w:tcPr>
    </w:tblStylePr>
    <w:tblStylePr w:type="band1Vert">
      <w:rPr>
        <w:rFonts w:ascii="Arial" w:hAnsi="Arial"/>
        <w:color w:val="404040"/>
        <w:sz w:val="22"/>
      </w:rPr>
      <w:tcPr>
        <w:shd w:val="clear" w:color="FFFFFF" w:themeColor="accent5"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115">
    <w:name w:val="List Table 2 - Accent 6"/>
    <w:basedOn w:val="646"/>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Color="accent6" w:themeTint="40"/>
      </w:tcPr>
    </w:tblStylePr>
    <w:tblStylePr w:type="band1Vert">
      <w:rPr>
        <w:rFonts w:ascii="Arial" w:hAnsi="Arial"/>
        <w:color w:val="404040"/>
        <w:sz w:val="22"/>
      </w:rPr>
      <w:tcPr>
        <w:shd w:val="clear" w:color="FFFFFF" w:themeColor="accent6" w:theme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116">
    <w:name w:val="List Table 3"/>
    <w:basedOn w:val="646"/>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FFFFFF" w:themeColor="text1"/>
      </w:tcPr>
    </w:tblStylePr>
    <w:tblStylePr w:type="lastCol">
      <w:rPr>
        <w:b/>
        <w:color w:val="404040"/>
      </w:rPr>
    </w:tblStylePr>
    <w:tblStylePr w:type="lastRow">
      <w:rPr>
        <w:b/>
        <w:color w:val="404040"/>
      </w:rPr>
    </w:tblStylePr>
  </w:style>
  <w:style w:type="table" w:styleId="117">
    <w:name w:val="List Table 3 - Accent 1"/>
    <w:basedOn w:val="646"/>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FFFFFF" w:themeColor="accent1"/>
      </w:tcPr>
    </w:tblStylePr>
    <w:tblStylePr w:type="lastCol">
      <w:rPr>
        <w:b/>
        <w:color w:val="404040"/>
      </w:rPr>
    </w:tblStylePr>
    <w:tblStylePr w:type="lastRow">
      <w:rPr>
        <w:b/>
        <w:color w:val="404040"/>
      </w:rPr>
    </w:tblStylePr>
  </w:style>
  <w:style w:type="table" w:styleId="118">
    <w:name w:val="List Table 3 - Accent 2"/>
    <w:basedOn w:val="646"/>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FFFFFF" w:themeColor="accent2" w:themeTint="97"/>
      </w:tcPr>
    </w:tblStylePr>
    <w:tblStylePr w:type="lastCol">
      <w:rPr>
        <w:b/>
        <w:color w:val="404040"/>
      </w:rPr>
    </w:tblStylePr>
    <w:tblStylePr w:type="lastRow">
      <w:rPr>
        <w:b/>
        <w:color w:val="404040"/>
      </w:rPr>
    </w:tblStylePr>
  </w:style>
  <w:style w:type="table" w:styleId="119">
    <w:name w:val="List Table 3 - Accent 3"/>
    <w:basedOn w:val="646"/>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FFFFFF" w:themeColor="accent3" w:themeTint="98"/>
      </w:tcPr>
    </w:tblStylePr>
    <w:tblStylePr w:type="lastCol">
      <w:rPr>
        <w:b/>
        <w:color w:val="404040"/>
      </w:rPr>
    </w:tblStylePr>
    <w:tblStylePr w:type="lastRow">
      <w:rPr>
        <w:b/>
        <w:color w:val="404040"/>
      </w:rPr>
    </w:tblStylePr>
  </w:style>
  <w:style w:type="table" w:styleId="120">
    <w:name w:val="List Table 3 - Accent 4"/>
    <w:basedOn w:val="646"/>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FFFFFF" w:themeColor="accent4" w:themeTint="9A"/>
      </w:tcPr>
    </w:tblStylePr>
    <w:tblStylePr w:type="lastCol">
      <w:rPr>
        <w:b/>
        <w:color w:val="404040"/>
      </w:rPr>
    </w:tblStylePr>
    <w:tblStylePr w:type="lastRow">
      <w:rPr>
        <w:b/>
        <w:color w:val="404040"/>
      </w:rPr>
    </w:tblStylePr>
  </w:style>
  <w:style w:type="table" w:styleId="121">
    <w:name w:val="List Table 3 - Accent 5"/>
    <w:basedOn w:val="646"/>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FFFFFF" w:themeColor="accent5" w:themeTint="9A"/>
      </w:tcPr>
    </w:tblStylePr>
    <w:tblStylePr w:type="lastCol">
      <w:rPr>
        <w:b/>
        <w:color w:val="404040"/>
      </w:rPr>
    </w:tblStylePr>
    <w:tblStylePr w:type="lastRow">
      <w:rPr>
        <w:b/>
        <w:color w:val="404040"/>
      </w:rPr>
    </w:tblStylePr>
  </w:style>
  <w:style w:type="table" w:styleId="122">
    <w:name w:val="List Table 3 - Accent 6"/>
    <w:basedOn w:val="646"/>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FFFFFF" w:themeColor="accent6" w:themeTint="98"/>
      </w:tcPr>
    </w:tblStylePr>
    <w:tblStylePr w:type="lastCol">
      <w:rPr>
        <w:b/>
        <w:color w:val="404040"/>
      </w:rPr>
    </w:tblStylePr>
    <w:tblStylePr w:type="lastRow">
      <w:rPr>
        <w:b/>
        <w:color w:val="404040"/>
      </w:rPr>
    </w:tblStylePr>
  </w:style>
  <w:style w:type="table" w:styleId="123">
    <w:name w:val="List Table 4"/>
    <w:basedOn w:val="646"/>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FFFFFF" w:themeColor="text1" w:themeTint="40"/>
      </w:tcPr>
    </w:tblStylePr>
    <w:tblStylePr w:type="band1Vert">
      <w:rPr>
        <w:rFonts w:ascii="Arial" w:hAnsi="Arial"/>
        <w:color w:val="404040"/>
        <w:sz w:val="22"/>
      </w:rPr>
      <w:tcPr>
        <w:shd w:val="clear" w:color="FFFFFF" w:themeColor="text1" w:themeTint="40"/>
      </w:tcPr>
    </w:tblStylePr>
    <w:tblStylePr w:type="firstCol">
      <w:rPr>
        <w:b/>
        <w:color w:val="404040"/>
      </w:rPr>
    </w:tblStylePr>
    <w:tblStylePr w:type="firstRow">
      <w:rPr>
        <w:rFonts w:ascii="Arial" w:hAnsi="Arial"/>
        <w:b/>
        <w:color w:val="FFFFFF"/>
        <w:sz w:val="22"/>
      </w:rPr>
      <w:tcPr>
        <w:shd w:val="clear" w:color="FFFFFF" w:themeColor="text1"/>
      </w:tcPr>
    </w:tblStylePr>
    <w:tblStylePr w:type="lastCol">
      <w:rPr>
        <w:b/>
        <w:color w:val="404040"/>
      </w:rPr>
    </w:tblStylePr>
    <w:tblStylePr w:type="lastRow">
      <w:rPr>
        <w:b/>
        <w:color w:val="404040"/>
      </w:rPr>
    </w:tblStylePr>
  </w:style>
  <w:style w:type="table" w:styleId="124">
    <w:name w:val="List Table 4 - Accent 1"/>
    <w:basedOn w:val="646"/>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FFFFFF" w:themeColor="accent1" w:themeTint="40"/>
      </w:tcPr>
    </w:tblStylePr>
    <w:tblStylePr w:type="band1Vert">
      <w:rPr>
        <w:rFonts w:ascii="Arial" w:hAnsi="Arial"/>
        <w:color w:val="404040"/>
        <w:sz w:val="22"/>
      </w:rPr>
      <w:tcPr>
        <w:shd w:val="clear" w:color="FFFFFF" w:themeColor="accent1" w:themeTint="40"/>
      </w:tcPr>
    </w:tblStylePr>
    <w:tblStylePr w:type="firstCol">
      <w:rPr>
        <w:b/>
        <w:color w:val="404040"/>
      </w:rPr>
    </w:tblStylePr>
    <w:tblStylePr w:type="firstRow">
      <w:rPr>
        <w:rFonts w:ascii="Arial" w:hAnsi="Arial"/>
        <w:b/>
        <w:color w:val="FFFFFF"/>
        <w:sz w:val="22"/>
      </w:rPr>
      <w:tcPr>
        <w:shd w:val="clear" w:color="FFFFFF" w:themeColor="accent1"/>
      </w:tcPr>
    </w:tblStylePr>
    <w:tblStylePr w:type="lastCol">
      <w:rPr>
        <w:b/>
        <w:color w:val="404040"/>
      </w:rPr>
    </w:tblStylePr>
    <w:tblStylePr w:type="lastRow">
      <w:rPr>
        <w:b/>
        <w:color w:val="404040"/>
      </w:rPr>
    </w:tblStylePr>
  </w:style>
  <w:style w:type="table" w:styleId="125">
    <w:name w:val="List Table 4 - Accent 2"/>
    <w:basedOn w:val="646"/>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FFFFFF" w:themeColor="accent2" w:themeTint="40"/>
      </w:tcPr>
    </w:tblStylePr>
    <w:tblStylePr w:type="band1Vert">
      <w:rPr>
        <w:rFonts w:ascii="Arial" w:hAnsi="Arial"/>
        <w:color w:val="404040"/>
        <w:sz w:val="22"/>
      </w:rPr>
      <w:tcPr>
        <w:shd w:val="clear" w:color="FFFFFF" w:themeColor="accent2" w:themeTint="40"/>
      </w:tcPr>
    </w:tblStylePr>
    <w:tblStylePr w:type="firstCol">
      <w:rPr>
        <w:b/>
        <w:color w:val="404040"/>
      </w:rPr>
    </w:tblStylePr>
    <w:tblStylePr w:type="firstRow">
      <w:rPr>
        <w:rFonts w:ascii="Arial" w:hAnsi="Arial"/>
        <w:b/>
        <w:color w:val="FFFFFF"/>
        <w:sz w:val="22"/>
      </w:rPr>
      <w:tcPr>
        <w:shd w:val="clear" w:color="FFFFFF" w:themeColor="accent2"/>
      </w:tcPr>
    </w:tblStylePr>
    <w:tblStylePr w:type="lastCol">
      <w:rPr>
        <w:b/>
        <w:color w:val="404040"/>
      </w:rPr>
    </w:tblStylePr>
    <w:tblStylePr w:type="lastRow">
      <w:rPr>
        <w:b/>
        <w:color w:val="404040"/>
      </w:rPr>
    </w:tblStylePr>
  </w:style>
  <w:style w:type="table" w:styleId="126">
    <w:name w:val="List Table 4 - Accent 3"/>
    <w:basedOn w:val="646"/>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FFFFFF" w:themeColor="accent3" w:themeTint="40"/>
      </w:tcPr>
    </w:tblStylePr>
    <w:tblStylePr w:type="band1Vert">
      <w:rPr>
        <w:rFonts w:ascii="Arial" w:hAnsi="Arial"/>
        <w:color w:val="404040"/>
        <w:sz w:val="22"/>
      </w:rPr>
      <w:tcPr>
        <w:shd w:val="clear" w:color="FFFFFF" w:themeColor="accent3" w:themeTint="40"/>
      </w:tcPr>
    </w:tblStylePr>
    <w:tblStylePr w:type="firstCol">
      <w:rPr>
        <w:b/>
        <w:color w:val="404040"/>
      </w:rPr>
    </w:tblStylePr>
    <w:tblStylePr w:type="firstRow">
      <w:rPr>
        <w:rFonts w:ascii="Arial" w:hAnsi="Arial"/>
        <w:b/>
        <w:color w:val="FFFFFF"/>
        <w:sz w:val="22"/>
      </w:rPr>
      <w:tcPr>
        <w:shd w:val="clear" w:color="FFFFFF" w:themeColor="accent3"/>
      </w:tcPr>
    </w:tblStylePr>
    <w:tblStylePr w:type="lastCol">
      <w:rPr>
        <w:b/>
        <w:color w:val="404040"/>
      </w:rPr>
    </w:tblStylePr>
    <w:tblStylePr w:type="lastRow">
      <w:rPr>
        <w:b/>
        <w:color w:val="404040"/>
      </w:rPr>
    </w:tblStylePr>
  </w:style>
  <w:style w:type="table" w:styleId="127">
    <w:name w:val="List Table 4 - Accent 4"/>
    <w:basedOn w:val="646"/>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FFFFFF" w:themeColor="accent4" w:themeTint="40"/>
      </w:tcPr>
    </w:tblStylePr>
    <w:tblStylePr w:type="band1Vert">
      <w:rPr>
        <w:rFonts w:ascii="Arial" w:hAnsi="Arial"/>
        <w:color w:val="404040"/>
        <w:sz w:val="22"/>
      </w:rPr>
      <w:tcPr>
        <w:shd w:val="clear" w:color="FFFFFF" w:themeColor="accent4" w:themeTint="40"/>
      </w:tcPr>
    </w:tblStylePr>
    <w:tblStylePr w:type="firstCol">
      <w:rPr>
        <w:b/>
        <w:color w:val="404040"/>
      </w:rPr>
    </w:tblStylePr>
    <w:tblStylePr w:type="firstRow">
      <w:rPr>
        <w:rFonts w:ascii="Arial" w:hAnsi="Arial"/>
        <w:b/>
        <w:color w:val="FFFFFF"/>
        <w:sz w:val="22"/>
      </w:rPr>
      <w:tcPr>
        <w:shd w:val="clear" w:color="FFFFFF" w:themeColor="accent4"/>
      </w:tcPr>
    </w:tblStylePr>
    <w:tblStylePr w:type="lastCol">
      <w:rPr>
        <w:b/>
        <w:color w:val="404040"/>
      </w:rPr>
    </w:tblStylePr>
    <w:tblStylePr w:type="lastRow">
      <w:rPr>
        <w:b/>
        <w:color w:val="404040"/>
      </w:rPr>
    </w:tblStylePr>
  </w:style>
  <w:style w:type="table" w:styleId="128">
    <w:name w:val="List Table 4 - Accent 5"/>
    <w:basedOn w:val="646"/>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FFFFFF" w:themeColor="accent5" w:themeTint="40"/>
      </w:tcPr>
    </w:tblStylePr>
    <w:tblStylePr w:type="band1Vert">
      <w:rPr>
        <w:rFonts w:ascii="Arial" w:hAnsi="Arial"/>
        <w:color w:val="404040"/>
        <w:sz w:val="22"/>
      </w:rPr>
      <w:tcPr>
        <w:shd w:val="clear" w:color="FFFFFF" w:themeColor="accent5" w:themeTint="40"/>
      </w:tcPr>
    </w:tblStylePr>
    <w:tblStylePr w:type="firstCol">
      <w:rPr>
        <w:b/>
        <w:color w:val="404040"/>
      </w:rPr>
    </w:tblStylePr>
    <w:tblStylePr w:type="firstRow">
      <w:rPr>
        <w:rFonts w:ascii="Arial" w:hAnsi="Arial"/>
        <w:b/>
        <w:color w:val="FFFFFF"/>
        <w:sz w:val="22"/>
      </w:rPr>
      <w:tcPr>
        <w:shd w:val="clear" w:color="FFFFFF" w:themeColor="accent5"/>
      </w:tcPr>
    </w:tblStylePr>
    <w:tblStylePr w:type="lastCol">
      <w:rPr>
        <w:b/>
        <w:color w:val="404040"/>
      </w:rPr>
    </w:tblStylePr>
    <w:tblStylePr w:type="lastRow">
      <w:rPr>
        <w:b/>
        <w:color w:val="404040"/>
      </w:rPr>
    </w:tblStylePr>
  </w:style>
  <w:style w:type="table" w:styleId="129">
    <w:name w:val="List Table 4 - Accent 6"/>
    <w:basedOn w:val="646"/>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FFFFFF" w:themeColor="accent6" w:themeTint="40"/>
      </w:tcPr>
    </w:tblStylePr>
    <w:tblStylePr w:type="band1Vert">
      <w:rPr>
        <w:rFonts w:ascii="Arial" w:hAnsi="Arial"/>
        <w:color w:val="404040"/>
        <w:sz w:val="22"/>
      </w:rPr>
      <w:tcPr>
        <w:shd w:val="clear" w:color="FFFFFF" w:themeColor="accent6" w:themeTint="40"/>
      </w:tcPr>
    </w:tblStylePr>
    <w:tblStylePr w:type="firstCol">
      <w:rPr>
        <w:b/>
        <w:color w:val="404040"/>
      </w:rPr>
    </w:tblStylePr>
    <w:tblStylePr w:type="firstRow">
      <w:rPr>
        <w:rFonts w:ascii="Arial" w:hAnsi="Arial"/>
        <w:b/>
        <w:color w:val="FFFFFF"/>
        <w:sz w:val="22"/>
      </w:rPr>
      <w:tcPr>
        <w:shd w:val="clear" w:color="FFFFFF" w:themeColor="accent6"/>
      </w:tcPr>
    </w:tblStylePr>
    <w:tblStylePr w:type="lastCol">
      <w:rPr>
        <w:b/>
        <w:color w:val="404040"/>
      </w:rPr>
    </w:tblStylePr>
    <w:tblStylePr w:type="lastRow">
      <w:rPr>
        <w:b/>
        <w:color w:val="404040"/>
      </w:rPr>
    </w:tblStylePr>
  </w:style>
  <w:style w:type="table" w:styleId="130">
    <w:name w:val="List Table 5 Dark"/>
    <w:basedOn w:val="646"/>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FFFFFF" w:themeColor="text1" w:themeTint="80"/>
    </w:tblPr>
    <w:tblStylePr w:type="band1Horz">
      <w:tcPr>
        <w:shd w:val="clear" w:color="FFFFFF" w:themeColor="text1" w:themeTint="80"/>
        <w:tcBorders>
          <w:top w:val="single" w:color="000000" w:sz="4" w:space="0" w:themeColor="light1"/>
          <w:bottom w:val="single" w:color="000000" w:sz="4" w:space="0" w:themeColor="light1"/>
        </w:tcBorders>
      </w:tcPr>
    </w:tblStylePr>
    <w:tblStylePr w:type="band1Vert">
      <w:tcPr>
        <w:shd w:val="clear" w:color="FFFFFF" w:themeColor="text1" w:themeTint="80"/>
        <w:tcBorders>
          <w:left w:val="single" w:color="000000" w:sz="4" w:space="0" w:themeColor="light1"/>
          <w:right w:val="single" w:color="000000" w:sz="4" w:space="0" w:themeColor="light1"/>
        </w:tcBorders>
      </w:tcPr>
    </w:tblStylePr>
    <w:tblStylePr w:type="band2Horz">
      <w:tcPr>
        <w:shd w:val="clear" w:color="FFFFFF" w:themeColor="text1" w:theme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FFFFFF" w:themeColor="text1" w:theme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646"/>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FFFFFF" w:themeColor="accent1"/>
    </w:tblPr>
    <w:tblStylePr w:type="band1Horz">
      <w:tcPr>
        <w:shd w:val="clear" w:color="FFFFFF" w:themeColor="accent1"/>
        <w:tcBorders>
          <w:top w:val="single" w:color="000000" w:sz="4" w:space="0" w:themeColor="light1"/>
          <w:bottom w:val="single" w:color="000000" w:sz="4" w:space="0" w:themeColor="light1"/>
        </w:tcBorders>
      </w:tcPr>
    </w:tblStylePr>
    <w:tblStylePr w:type="band1Vert">
      <w:tcPr>
        <w:shd w:val="clear" w:color="FFFFFF" w:themeColor="accent1"/>
        <w:tcBorders>
          <w:left w:val="single" w:color="000000" w:sz="4" w:space="0" w:themeColor="light1"/>
          <w:right w:val="single" w:color="000000" w:sz="4" w:space="0" w:themeColor="light1"/>
        </w:tcBorders>
      </w:tcPr>
    </w:tblStylePr>
    <w:tblStylePr w:type="band2Horz">
      <w:tcPr>
        <w:shd w:val="clear" w:color="FFFFFF" w:themeColor="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FFFFFF" w:themeColor="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646"/>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FFFFFF" w:themeColor="accent2" w:themeTint="97"/>
    </w:tblPr>
    <w:tblStylePr w:type="band1Horz">
      <w:tcPr>
        <w:shd w:val="clear" w:color="FFFFFF" w:themeColor="accent2" w:themeTint="97"/>
        <w:tcBorders>
          <w:top w:val="single" w:color="000000" w:sz="4" w:space="0" w:themeColor="light1"/>
          <w:bottom w:val="single" w:color="000000" w:sz="4" w:space="0" w:themeColor="light1"/>
        </w:tcBorders>
      </w:tcPr>
    </w:tblStylePr>
    <w:tblStylePr w:type="band1Vert">
      <w:tcPr>
        <w:shd w:val="clear" w:color="FFFFFF" w:themeColor="accent2" w:themeTint="97"/>
        <w:tcBorders>
          <w:left w:val="single" w:color="000000" w:sz="4" w:space="0" w:themeColor="light1"/>
          <w:right w:val="single" w:color="000000" w:sz="4" w:space="0" w:themeColor="light1"/>
        </w:tcBorders>
      </w:tcPr>
    </w:tblStylePr>
    <w:tblStylePr w:type="band2Horz">
      <w:tcPr>
        <w:shd w:val="clear" w:color="FFFFFF" w:themeColor="accent2" w:theme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FFFFFF" w:themeColor="accent2" w:theme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646"/>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FFFFFF" w:themeColor="accent3" w:themeTint="98"/>
    </w:tblPr>
    <w:tblStylePr w:type="band1Horz">
      <w:tcPr>
        <w:shd w:val="clear" w:color="FFFFFF" w:themeColor="accent3" w:themeTint="98"/>
        <w:tcBorders>
          <w:top w:val="single" w:color="000000" w:sz="4" w:space="0" w:themeColor="light1"/>
          <w:bottom w:val="single" w:color="000000" w:sz="4" w:space="0" w:themeColor="light1"/>
        </w:tcBorders>
      </w:tcPr>
    </w:tblStylePr>
    <w:tblStylePr w:type="band1Vert">
      <w:tcPr>
        <w:shd w:val="clear" w:color="FFFFFF" w:themeColor="accent3" w:themeTint="98"/>
        <w:tcBorders>
          <w:left w:val="single" w:color="000000" w:sz="4" w:space="0" w:themeColor="light1"/>
          <w:right w:val="single" w:color="000000" w:sz="4" w:space="0" w:themeColor="light1"/>
        </w:tcBorders>
      </w:tcPr>
    </w:tblStylePr>
    <w:tblStylePr w:type="band2Horz">
      <w:tcPr>
        <w:shd w:val="clear" w:color="FFFFFF" w:themeColor="accent3"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FFFFFF" w:themeColor="accent3" w:theme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646"/>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FFFFFF" w:themeColor="accent4" w:themeTint="9A"/>
    </w:tblPr>
    <w:tblStylePr w:type="band1Horz">
      <w:tcPr>
        <w:shd w:val="clear" w:color="FFFFFF" w:themeColor="accent4" w:themeTint="9A"/>
        <w:tcBorders>
          <w:top w:val="single" w:color="000000" w:sz="4" w:space="0" w:themeColor="light1"/>
          <w:bottom w:val="single" w:color="000000" w:sz="4" w:space="0" w:themeColor="light1"/>
        </w:tcBorders>
      </w:tcPr>
    </w:tblStylePr>
    <w:tblStylePr w:type="band1Vert">
      <w:tcPr>
        <w:shd w:val="clear" w:color="FFFFFF" w:themeColor="accent4" w:themeTint="9A"/>
        <w:tcBorders>
          <w:left w:val="single" w:color="000000" w:sz="4" w:space="0" w:themeColor="light1"/>
          <w:right w:val="single" w:color="000000" w:sz="4" w:space="0" w:themeColor="light1"/>
        </w:tcBorders>
      </w:tcPr>
    </w:tblStylePr>
    <w:tblStylePr w:type="band2Horz">
      <w:tcPr>
        <w:shd w:val="clear" w:color="FFFFFF" w:themeColor="accent4"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FFFFFF" w:themeColor="accent4" w:theme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646"/>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FFFFFF" w:themeColor="accent5" w:themeTint="9A"/>
    </w:tblPr>
    <w:tblStylePr w:type="band1Horz">
      <w:tcPr>
        <w:shd w:val="clear" w:color="FFFFFF" w:themeColor="accent5" w:themeTint="9A"/>
        <w:tcBorders>
          <w:top w:val="single" w:color="000000" w:sz="4" w:space="0" w:themeColor="light1"/>
          <w:bottom w:val="single" w:color="000000" w:sz="4" w:space="0" w:themeColor="light1"/>
        </w:tcBorders>
      </w:tcPr>
    </w:tblStylePr>
    <w:tblStylePr w:type="band1Vert">
      <w:tcPr>
        <w:shd w:val="clear" w:color="FFFFFF" w:themeColor="accent5" w:themeTint="9A"/>
        <w:tcBorders>
          <w:left w:val="single" w:color="000000" w:sz="4" w:space="0" w:themeColor="light1"/>
          <w:right w:val="single" w:color="000000" w:sz="4" w:space="0" w:themeColor="light1"/>
        </w:tcBorders>
      </w:tcPr>
    </w:tblStylePr>
    <w:tblStylePr w:type="band2Horz">
      <w:tcPr>
        <w:shd w:val="clear" w:color="FFFFFF" w:themeColor="accent5" w:theme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FFFFFF" w:themeColor="accent5" w:theme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646"/>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FFFFFF" w:themeColor="accent6" w:themeTint="98"/>
    </w:tblPr>
    <w:tblStylePr w:type="band1Horz">
      <w:tcPr>
        <w:shd w:val="clear" w:color="FFFFFF" w:themeColor="accent6" w:themeTint="98"/>
        <w:tcBorders>
          <w:top w:val="single" w:color="000000" w:sz="4" w:space="0" w:themeColor="light1"/>
          <w:bottom w:val="single" w:color="000000" w:sz="4" w:space="0" w:themeColor="light1"/>
        </w:tcBorders>
      </w:tcPr>
    </w:tblStylePr>
    <w:tblStylePr w:type="band1Vert">
      <w:tcPr>
        <w:shd w:val="clear" w:color="FFFFFF" w:themeColor="accent6" w:themeTint="98"/>
        <w:tcBorders>
          <w:left w:val="single" w:color="000000" w:sz="4" w:space="0" w:themeColor="light1"/>
          <w:right w:val="single" w:color="000000" w:sz="4" w:space="0" w:themeColor="light1"/>
        </w:tcBorders>
      </w:tcPr>
    </w:tblStylePr>
    <w:tblStylePr w:type="band2Horz">
      <w:tcPr>
        <w:shd w:val="clear" w:color="FFFFFF" w:themeColor="accent6" w:theme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FFFFFF" w:themeColor="accent6" w:theme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646"/>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FFFFFF" w:themeColor="text1" w:themeTint="40"/>
      </w:tcPr>
    </w:tblStylePr>
    <w:tblStylePr w:type="band1Vert">
      <w:tcPr>
        <w:shd w:val="clear" w:color="FFFFFF" w:themeColor="text1" w:theme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138">
    <w:name w:val="List Table 6 Colorful - Accent 1"/>
    <w:basedOn w:val="646"/>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FFFFFF" w:themeColor="accent1" w:themeTint="40"/>
      </w:tcPr>
    </w:tblStylePr>
    <w:tblStylePr w:type="band1Vert">
      <w:tcPr>
        <w:shd w:val="clear" w:color="FFFFFF" w:themeColor="accent1" w:theme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sz="4" w:space="0" w:themeColor="accent1"/>
        </w:tcBorders>
      </w:tcPr>
    </w:tblStylePr>
    <w:tblStylePr w:type="lastCol">
      <w:rPr>
        <w:b/>
        <w:color w:val="2A4B71" w:themeColor="accent1" w:themeShade="95"/>
      </w:rPr>
    </w:tblStylePr>
    <w:tblStylePr w:type="lastRow">
      <w:rPr>
        <w:b/>
        <w:color w:val="2A4B71" w:themeColor="accent1" w:themeShade="95"/>
      </w:rPr>
      <w:tcPr>
        <w:tcBorders>
          <w:top w:val="single" w:color="000000" w:sz="4" w:space="0" w:themeColor="accent1"/>
        </w:tcBorders>
      </w:tcPr>
    </w:tblStylePr>
  </w:style>
  <w:style w:type="table" w:styleId="139">
    <w:name w:val="List Table 6 Colorful - Accent 2"/>
    <w:basedOn w:val="646"/>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FFFFFF" w:themeColor="accent2" w:themeTint="40"/>
      </w:tcPr>
    </w:tblStylePr>
    <w:tblStylePr w:type="band1Vert">
      <w:tcPr>
        <w:shd w:val="clear" w:color="FFFFFF" w:themeColor="accent2" w:theme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4"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sz="4" w:space="0" w:themeColor="accent2" w:themeTint="97"/>
        </w:tcBorders>
      </w:tcPr>
    </w:tblStylePr>
  </w:style>
  <w:style w:type="table" w:styleId="140">
    <w:name w:val="List Table 6 Colorful - Accent 3"/>
    <w:basedOn w:val="646"/>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FFFFFF" w:themeColor="accent3" w:themeTint="40"/>
      </w:tcPr>
    </w:tblStylePr>
    <w:tblStylePr w:type="band1Vert">
      <w:tcPr>
        <w:shd w:val="clear" w:color="FFFFFF" w:themeColor="accent3" w:theme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sz="4" w:space="0" w:themeColor="accent3" w:themeTint="98"/>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sz="4" w:space="0" w:themeColor="accent3" w:themeTint="98"/>
        </w:tcBorders>
      </w:tcPr>
    </w:tblStylePr>
  </w:style>
  <w:style w:type="table" w:styleId="141">
    <w:name w:val="List Table 6 Colorful - Accent 4"/>
    <w:basedOn w:val="646"/>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FFFFFF" w:themeColor="accent4" w:themeTint="40"/>
      </w:tcPr>
    </w:tblStylePr>
    <w:tblStylePr w:type="band1Vert">
      <w:tcPr>
        <w:shd w:val="clear" w:color="FFFFFF" w:themeColor="accent4" w:theme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4"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sz="4" w:space="0" w:themeColor="accent4" w:themeTint="9A"/>
        </w:tcBorders>
      </w:tcPr>
    </w:tblStylePr>
  </w:style>
  <w:style w:type="table" w:styleId="142">
    <w:name w:val="List Table 6 Colorful - Accent 5"/>
    <w:basedOn w:val="646"/>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FFFFFF" w:themeColor="accent5" w:themeTint="40"/>
      </w:tcPr>
    </w:tblStylePr>
    <w:tblStylePr w:type="band1Vert">
      <w:tcPr>
        <w:shd w:val="clear" w:color="FFFFFF" w:themeColor="accent5" w:theme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sz="4" w:space="0" w:themeColor="accent5" w:themeTint="9A"/>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sz="4" w:space="0" w:themeColor="accent5" w:themeTint="9A"/>
        </w:tcBorders>
      </w:tcPr>
    </w:tblStylePr>
  </w:style>
  <w:style w:type="table" w:styleId="143">
    <w:name w:val="List Table 6 Colorful - Accent 6"/>
    <w:basedOn w:val="646"/>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FFFFFF" w:themeColor="accent6" w:themeTint="40"/>
      </w:tcPr>
    </w:tblStylePr>
    <w:tblStylePr w:type="band1Vert">
      <w:tcPr>
        <w:shd w:val="clear" w:color="FFFFFF" w:themeColor="accent6" w:theme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sz="4" w:space="0" w:themeColor="accent6" w:themeTint="98"/>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sz="4" w:space="0" w:themeColor="accent6" w:themeTint="98"/>
        </w:tcBorders>
      </w:tcPr>
    </w:tblStylePr>
  </w:style>
  <w:style w:type="table" w:styleId="144">
    <w:name w:val="List Table 7 Colorful"/>
    <w:basedOn w:val="646"/>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FFFFFF" w:themeColor="text1" w:themeTint="40"/>
      </w:tcPr>
    </w:tblStylePr>
    <w:tblStylePr w:type="band1Vert">
      <w:tcPr>
        <w:shd w:val="clear" w:color="FFFFFF" w:themeColor="text1" w:theme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left w:val="none"/>
          <w:top w:val="none"/>
          <w:right w:val="single" w:color="000000" w:sz="4" w:space="0" w:themeColor="text1" w:themeTint="80"/>
          <w:bottom w:val="none"/>
        </w:tcBorders>
      </w:tcPr>
    </w:tblStylePr>
    <w:tblStylePr w:type="firstRow">
      <w:rPr>
        <w:rFonts w:ascii="Arial" w:hAnsi="Arial"/>
        <w:i/>
        <w:color w:val="4A4A4A" w:themeColor="text1" w:themeTint="80" w:themeShade="95"/>
        <w:sz w:val="22"/>
      </w:rPr>
      <w:tcPr>
        <w:shd w:val="clear" w:color="FFFFFF" w:themeColor="light1"/>
        <w:tcBorders>
          <w:left w:val="none"/>
          <w:top w:val="none"/>
          <w:right w:val="none"/>
          <w:bottom w:val="single" w:color="000000" w:sz="4" w:space="0" w:themeColor="text1" w:themeTint="80"/>
        </w:tcBorders>
      </w:tcPr>
    </w:tblStylePr>
    <w:tblStylePr w:type="lastCol">
      <w:rPr>
        <w:rFonts w:ascii="Arial" w:hAnsi="Arial"/>
        <w:i/>
        <w:color w:val="4A4A4A" w:themeColor="text1" w:themeTint="80" w:themeShade="95"/>
        <w:sz w:val="22"/>
      </w:rPr>
      <w:tcPr>
        <w:shd w:color="FFFFFF"/>
        <w:tcBorders>
          <w:left w:val="single" w:color="000000" w:sz="4" w:space="0" w:themeColor="text1" w:themeTint="80"/>
          <w:top w:val="none"/>
          <w:right w:val="none"/>
          <w:bottom w:val="none"/>
        </w:tcBorders>
      </w:tcPr>
    </w:tblStylePr>
    <w:tblStylePr w:type="lastRow">
      <w:rPr>
        <w:rFonts w:ascii="Arial" w:hAnsi="Arial"/>
        <w:i/>
        <w:color w:val="4A4A4A" w:themeColor="text1" w:themeTint="80" w:themeShade="95"/>
        <w:sz w:val="22"/>
      </w:rPr>
      <w:tcPr>
        <w:shd w:val="clear" w:color="FFFFFF" w:themeColor="light1"/>
        <w:tcBorders>
          <w:left w:val="none"/>
          <w:top w:val="single" w:color="000000" w:sz="4" w:space="0" w:themeColor="text1" w:themeTint="80"/>
          <w:right w:val="none"/>
          <w:bottom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646"/>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A4B71" w:themeColor="accent1" w:themeShade="95"/>
        <w:sz w:val="22"/>
      </w:rPr>
      <w:tcPr>
        <w:shd w:val="clear" w:color="FFFFFF" w:themeColor="accent1" w:themeTint="40"/>
      </w:tcPr>
    </w:tblStylePr>
    <w:tblStylePr w:type="band1Vert">
      <w:tcPr>
        <w:shd w:val="clear" w:color="FFFFFF" w:themeColor="accent1" w:theme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left w:val="none"/>
          <w:top w:val="none"/>
          <w:right w:val="single" w:color="000000" w:sz="4" w:space="0" w:themeColor="accent1"/>
          <w:bottom w:val="none"/>
        </w:tcBorders>
      </w:tcPr>
    </w:tblStylePr>
    <w:tblStylePr w:type="firstRow">
      <w:rPr>
        <w:rFonts w:ascii="Arial" w:hAnsi="Arial"/>
        <w:i/>
        <w:color w:val="2A4B71" w:themeColor="accent1" w:themeShade="95"/>
        <w:sz w:val="22"/>
      </w:rPr>
      <w:tcPr>
        <w:shd w:val="clear" w:color="FFFFFF" w:themeColor="light1"/>
        <w:tcBorders>
          <w:left w:val="none"/>
          <w:top w:val="none"/>
          <w:right w:val="none"/>
          <w:bottom w:val="single" w:color="000000" w:sz="4" w:space="0" w:themeColor="accent1"/>
        </w:tcBorders>
      </w:tcPr>
    </w:tblStylePr>
    <w:tblStylePr w:type="lastCol">
      <w:rPr>
        <w:rFonts w:ascii="Arial" w:hAnsi="Arial"/>
        <w:i/>
        <w:color w:val="2A4B71" w:themeColor="accent1" w:themeShade="95"/>
        <w:sz w:val="22"/>
      </w:rPr>
      <w:tcPr>
        <w:shd w:color="FFFFFF"/>
        <w:tcBorders>
          <w:left w:val="single" w:color="000000" w:sz="4" w:space="0" w:themeColor="accent1"/>
          <w:top w:val="none"/>
          <w:right w:val="none"/>
          <w:bottom w:val="none"/>
        </w:tcBorders>
      </w:tcPr>
    </w:tblStylePr>
    <w:tblStylePr w:type="lastRow">
      <w:rPr>
        <w:rFonts w:ascii="Arial" w:hAnsi="Arial"/>
        <w:i/>
        <w:color w:val="2A4B71" w:themeColor="accent1" w:themeShade="95"/>
        <w:sz w:val="22"/>
      </w:rPr>
      <w:tcPr>
        <w:shd w:val="clear" w:color="FFFFFF" w:themeColor="light1"/>
        <w:tcBorders>
          <w:left w:val="none"/>
          <w:top w:val="single" w:color="000000" w:sz="4" w:space="0" w:themeColor="accent1"/>
          <w:right w:val="none"/>
          <w:bottom w:val="none"/>
        </w:tcBorders>
      </w:tcPr>
    </w:tblStylePr>
    <w:tblStylePr w:type="wholeTable">
      <w:rPr>
        <w:rFonts w:ascii="Arial" w:hAnsi="Arial"/>
        <w:color w:val="2A4B71" w:themeColor="accent1" w:themeShade="95"/>
        <w:sz w:val="22"/>
      </w:rPr>
    </w:tblStylePr>
  </w:style>
  <w:style w:type="table" w:styleId="146">
    <w:name w:val="List Table 7 Colorful - Accent 2"/>
    <w:basedOn w:val="646"/>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9C3A37" w:themeColor="accent2" w:themeTint="97" w:themeShade="95"/>
        <w:sz w:val="22"/>
      </w:rPr>
      <w:tcPr>
        <w:shd w:val="clear" w:color="FFFFFF" w:themeColor="accent2" w:themeTint="40"/>
      </w:tcPr>
    </w:tblStylePr>
    <w:tblStylePr w:type="band1Vert">
      <w:tcPr>
        <w:shd w:val="clear" w:color="FFFFFF" w:themeColor="accent2" w:theme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left w:val="none"/>
          <w:top w:val="none"/>
          <w:right w:val="single" w:color="000000" w:sz="4" w:space="0" w:themeColor="accent2" w:themeTint="97"/>
          <w:bottom w:val="none"/>
        </w:tcBorders>
      </w:tcPr>
    </w:tblStylePr>
    <w:tblStylePr w:type="firstRow">
      <w:rPr>
        <w:rFonts w:ascii="Arial" w:hAnsi="Arial"/>
        <w:i/>
        <w:color w:val="9C3A37" w:themeColor="accent2" w:themeTint="97" w:themeShade="95"/>
        <w:sz w:val="22"/>
      </w:rPr>
      <w:tcPr>
        <w:shd w:val="clear" w:color="FFFFFF" w:themeColor="light1"/>
        <w:tcBorders>
          <w:left w:val="none"/>
          <w:top w:val="none"/>
          <w:right w:val="none"/>
          <w:bottom w:val="single" w:color="000000" w:sz="4" w:space="0" w:themeColor="accent2" w:themeTint="97"/>
        </w:tcBorders>
      </w:tcPr>
    </w:tblStylePr>
    <w:tblStylePr w:type="lastCol">
      <w:rPr>
        <w:rFonts w:ascii="Arial" w:hAnsi="Arial"/>
        <w:i/>
        <w:color w:val="9C3A37" w:themeColor="accent2" w:themeTint="97" w:themeShade="95"/>
        <w:sz w:val="22"/>
      </w:rPr>
      <w:tcPr>
        <w:shd w:color="FFFFFF"/>
        <w:tcBorders>
          <w:left w:val="single" w:color="000000" w:sz="4" w:space="0" w:themeColor="accent2" w:themeTint="97"/>
          <w:top w:val="none"/>
          <w:right w:val="none"/>
          <w:bottom w:val="none"/>
        </w:tcBorders>
      </w:tcPr>
    </w:tblStylePr>
    <w:tblStylePr w:type="lastRow">
      <w:rPr>
        <w:rFonts w:ascii="Arial" w:hAnsi="Arial"/>
        <w:i/>
        <w:color w:val="9C3A37" w:themeColor="accent2" w:themeTint="97" w:themeShade="95"/>
        <w:sz w:val="22"/>
      </w:rPr>
      <w:tcPr>
        <w:shd w:val="clear" w:color="FFFFFF" w:themeColor="light1"/>
        <w:tcBorders>
          <w:left w:val="none"/>
          <w:top w:val="single" w:color="000000" w:sz="4" w:space="0" w:themeColor="accent2" w:themeTint="97"/>
          <w:right w:val="none"/>
          <w:bottom w:val="none"/>
        </w:tcBorders>
      </w:tcPr>
    </w:tblStylePr>
    <w:tblStylePr w:type="wholeTable">
      <w:rPr>
        <w:rFonts w:ascii="Arial" w:hAnsi="Arial"/>
        <w:color w:val="9C3A37" w:themeColor="accent2" w:themeTint="97" w:themeShade="95"/>
        <w:sz w:val="22"/>
      </w:rPr>
    </w:tblStylePr>
  </w:style>
  <w:style w:type="table" w:styleId="147">
    <w:name w:val="List Table 7 Colorful - Accent 3"/>
    <w:basedOn w:val="646"/>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C983F" w:themeColor="accent3" w:themeTint="98" w:themeShade="95"/>
        <w:sz w:val="22"/>
      </w:rPr>
      <w:tcPr>
        <w:shd w:val="clear" w:color="FFFFFF" w:themeColor="accent3" w:themeTint="40"/>
      </w:tcPr>
    </w:tblStylePr>
    <w:tblStylePr w:type="band1Vert">
      <w:tcPr>
        <w:shd w:val="clear" w:color="FFFFFF" w:themeColor="accent3" w:theme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left w:val="none"/>
          <w:top w:val="none"/>
          <w:right w:val="single" w:color="000000" w:sz="4" w:space="0" w:themeColor="accent3" w:themeTint="98"/>
          <w:bottom w:val="none"/>
        </w:tcBorders>
      </w:tcPr>
    </w:tblStylePr>
    <w:tblStylePr w:type="firstRow">
      <w:rPr>
        <w:rFonts w:ascii="Arial" w:hAnsi="Arial"/>
        <w:i/>
        <w:color w:val="7C983F" w:themeColor="accent3" w:themeTint="98" w:themeShade="95"/>
        <w:sz w:val="22"/>
      </w:rPr>
      <w:tcPr>
        <w:shd w:val="clear" w:color="FFFFFF" w:themeColor="light1"/>
        <w:tcBorders>
          <w:left w:val="none"/>
          <w:top w:val="none"/>
          <w:right w:val="none"/>
          <w:bottom w:val="single" w:color="000000" w:sz="4" w:space="0" w:themeColor="accent3" w:themeTint="98"/>
        </w:tcBorders>
      </w:tcPr>
    </w:tblStylePr>
    <w:tblStylePr w:type="lastCol">
      <w:rPr>
        <w:rFonts w:ascii="Arial" w:hAnsi="Arial"/>
        <w:i/>
        <w:color w:val="7C983F" w:themeColor="accent3" w:themeTint="98" w:themeShade="95"/>
        <w:sz w:val="22"/>
      </w:rPr>
      <w:tcPr>
        <w:shd w:color="FFFFFF"/>
        <w:tcBorders>
          <w:left w:val="single" w:color="000000" w:sz="4" w:space="0" w:themeColor="accent3" w:themeTint="98"/>
          <w:top w:val="none"/>
          <w:right w:val="none"/>
          <w:bottom w:val="none"/>
        </w:tcBorders>
      </w:tcPr>
    </w:tblStylePr>
    <w:tblStylePr w:type="lastRow">
      <w:rPr>
        <w:rFonts w:ascii="Arial" w:hAnsi="Arial"/>
        <w:i/>
        <w:color w:val="7C983F" w:themeColor="accent3" w:themeTint="98" w:themeShade="95"/>
        <w:sz w:val="22"/>
      </w:rPr>
      <w:tcPr>
        <w:shd w:val="clear" w:color="FFFFFF" w:themeColor="light1"/>
        <w:tcBorders>
          <w:left w:val="none"/>
          <w:top w:val="single" w:color="000000" w:sz="4" w:space="0" w:themeColor="accent3" w:themeTint="98"/>
          <w:right w:val="none"/>
          <w:bottom w:val="none"/>
        </w:tcBorders>
      </w:tcPr>
    </w:tblStylePr>
    <w:tblStylePr w:type="wholeTable">
      <w:rPr>
        <w:rFonts w:ascii="Arial" w:hAnsi="Arial"/>
        <w:color w:val="7C983F" w:themeColor="accent3" w:themeTint="98" w:themeShade="95"/>
        <w:sz w:val="22"/>
      </w:rPr>
    </w:tblStylePr>
  </w:style>
  <w:style w:type="table" w:styleId="148">
    <w:name w:val="List Table 7 Colorful - Accent 4"/>
    <w:basedOn w:val="646"/>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664F82" w:themeColor="accent4" w:themeTint="9A" w:themeShade="95"/>
        <w:sz w:val="22"/>
      </w:rPr>
      <w:tcPr>
        <w:shd w:val="clear" w:color="FFFFFF" w:themeColor="accent4" w:themeTint="40"/>
      </w:tcPr>
    </w:tblStylePr>
    <w:tblStylePr w:type="band1Vert">
      <w:tcPr>
        <w:shd w:val="clear" w:color="FFFFFF" w:themeColor="accent4" w:theme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left w:val="none"/>
          <w:top w:val="none"/>
          <w:right w:val="single" w:color="000000" w:sz="4" w:space="0" w:themeColor="accent4" w:themeTint="9A"/>
          <w:bottom w:val="none"/>
        </w:tcBorders>
      </w:tcPr>
    </w:tblStylePr>
    <w:tblStylePr w:type="firstRow">
      <w:rPr>
        <w:rFonts w:ascii="Arial" w:hAnsi="Arial"/>
        <w:i/>
        <w:color w:val="664F82" w:themeColor="accent4" w:themeTint="9A" w:themeShade="95"/>
        <w:sz w:val="22"/>
      </w:rPr>
      <w:tcPr>
        <w:shd w:val="clear" w:color="FFFFFF" w:themeColor="light1"/>
        <w:tcBorders>
          <w:left w:val="none"/>
          <w:top w:val="none"/>
          <w:right w:val="none"/>
          <w:bottom w:val="single" w:color="000000" w:sz="4" w:space="0" w:themeColor="accent4" w:themeTint="9A"/>
        </w:tcBorders>
      </w:tcPr>
    </w:tblStylePr>
    <w:tblStylePr w:type="lastCol">
      <w:rPr>
        <w:rFonts w:ascii="Arial" w:hAnsi="Arial"/>
        <w:i/>
        <w:color w:val="664F82" w:themeColor="accent4" w:themeTint="9A" w:themeShade="95"/>
        <w:sz w:val="22"/>
      </w:rPr>
      <w:tcPr>
        <w:shd w:color="FFFFFF"/>
        <w:tcBorders>
          <w:left w:val="single" w:color="000000" w:sz="4" w:space="0" w:themeColor="accent4" w:themeTint="9A"/>
          <w:top w:val="none"/>
          <w:right w:val="none"/>
          <w:bottom w:val="none"/>
        </w:tcBorders>
      </w:tcPr>
    </w:tblStylePr>
    <w:tblStylePr w:type="lastRow">
      <w:rPr>
        <w:rFonts w:ascii="Arial" w:hAnsi="Arial"/>
        <w:i/>
        <w:color w:val="664F82" w:themeColor="accent4" w:themeTint="9A" w:themeShade="95"/>
        <w:sz w:val="22"/>
      </w:rPr>
      <w:tcPr>
        <w:shd w:val="clear" w:color="FFFFFF" w:themeColor="light1"/>
        <w:tcBorders>
          <w:left w:val="none"/>
          <w:top w:val="single" w:color="000000" w:sz="4" w:space="0" w:themeColor="accent4" w:themeTint="9A"/>
          <w:right w:val="none"/>
          <w:bottom w:val="none"/>
        </w:tcBorders>
      </w:tcPr>
    </w:tblStylePr>
    <w:tblStylePr w:type="wholeTable">
      <w:rPr>
        <w:rFonts w:ascii="Arial" w:hAnsi="Arial"/>
        <w:color w:val="664F82" w:themeColor="accent4" w:themeTint="9A" w:themeShade="95"/>
        <w:sz w:val="22"/>
      </w:rPr>
    </w:tblStylePr>
  </w:style>
  <w:style w:type="table" w:styleId="149">
    <w:name w:val="List Table 7 Colorful - Accent 5"/>
    <w:basedOn w:val="646"/>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8AA0" w:themeColor="accent5" w:themeTint="9A" w:themeShade="95"/>
        <w:sz w:val="22"/>
      </w:rPr>
      <w:tcPr>
        <w:shd w:val="clear" w:color="FFFFFF" w:themeColor="accent5" w:themeTint="40"/>
      </w:tcPr>
    </w:tblStylePr>
    <w:tblStylePr w:type="band1Vert">
      <w:tcPr>
        <w:shd w:val="clear" w:color="FFFFFF" w:themeColor="accent5" w:theme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left w:val="none"/>
          <w:top w:val="none"/>
          <w:right w:val="single" w:color="000000" w:sz="4" w:space="0" w:themeColor="accent5" w:themeTint="9A"/>
          <w:bottom w:val="none"/>
        </w:tcBorders>
      </w:tcPr>
    </w:tblStylePr>
    <w:tblStylePr w:type="firstRow">
      <w:rPr>
        <w:rFonts w:ascii="Arial" w:hAnsi="Arial"/>
        <w:i/>
        <w:color w:val="338AA0" w:themeColor="accent5" w:themeTint="9A" w:themeShade="95"/>
        <w:sz w:val="22"/>
      </w:rPr>
      <w:tcPr>
        <w:shd w:val="clear" w:color="FFFFFF" w:themeColor="light1"/>
        <w:tcBorders>
          <w:left w:val="none"/>
          <w:top w:val="none"/>
          <w:right w:val="none"/>
          <w:bottom w:val="single" w:color="000000" w:sz="4" w:space="0" w:themeColor="accent5" w:themeTint="9A"/>
        </w:tcBorders>
      </w:tcPr>
    </w:tblStylePr>
    <w:tblStylePr w:type="lastCol">
      <w:rPr>
        <w:rFonts w:ascii="Arial" w:hAnsi="Arial"/>
        <w:i/>
        <w:color w:val="338AA0" w:themeColor="accent5" w:themeTint="9A" w:themeShade="95"/>
        <w:sz w:val="22"/>
      </w:rPr>
      <w:tcPr>
        <w:shd w:color="FFFFFF"/>
        <w:tcBorders>
          <w:left w:val="single" w:color="000000" w:sz="4" w:space="0" w:themeColor="accent5" w:themeTint="9A"/>
          <w:top w:val="none"/>
          <w:right w:val="none"/>
          <w:bottom w:val="none"/>
        </w:tcBorders>
      </w:tcPr>
    </w:tblStylePr>
    <w:tblStylePr w:type="lastRow">
      <w:rPr>
        <w:rFonts w:ascii="Arial" w:hAnsi="Arial"/>
        <w:i/>
        <w:color w:val="338AA0" w:themeColor="accent5" w:themeTint="9A" w:themeShade="95"/>
        <w:sz w:val="22"/>
      </w:rPr>
      <w:tcPr>
        <w:shd w:val="clear" w:color="FFFFFF" w:themeColor="light1"/>
        <w:tcBorders>
          <w:left w:val="none"/>
          <w:top w:val="single" w:color="000000" w:sz="4" w:space="0" w:themeColor="accent5" w:themeTint="9A"/>
          <w:right w:val="none"/>
          <w:bottom w:val="none"/>
        </w:tcBorders>
      </w:tcPr>
    </w:tblStylePr>
    <w:tblStylePr w:type="wholeTable">
      <w:rPr>
        <w:rFonts w:ascii="Arial" w:hAnsi="Arial"/>
        <w:color w:val="338AA0" w:themeColor="accent5" w:themeTint="9A" w:themeShade="95"/>
        <w:sz w:val="22"/>
      </w:rPr>
    </w:tblStylePr>
  </w:style>
  <w:style w:type="table" w:styleId="150">
    <w:name w:val="List Table 7 Colorful - Accent 6"/>
    <w:basedOn w:val="646"/>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D9680C" w:themeColor="accent6" w:themeTint="98" w:themeShade="95"/>
        <w:sz w:val="22"/>
      </w:rPr>
      <w:tcPr>
        <w:shd w:val="clear" w:color="FFFFFF" w:themeColor="accent6" w:themeTint="40"/>
      </w:tcPr>
    </w:tblStylePr>
    <w:tblStylePr w:type="band1Vert">
      <w:tcPr>
        <w:shd w:val="clear" w:color="FFFFFF" w:themeColor="accent6" w:theme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left w:val="none"/>
          <w:top w:val="none"/>
          <w:right w:val="single" w:color="000000" w:sz="4" w:space="0" w:themeColor="accent6" w:themeTint="98"/>
          <w:bottom w:val="none"/>
        </w:tcBorders>
      </w:tcPr>
    </w:tblStylePr>
    <w:tblStylePr w:type="firstRow">
      <w:rPr>
        <w:rFonts w:ascii="Arial" w:hAnsi="Arial"/>
        <w:i/>
        <w:color w:val="D9680C" w:themeColor="accent6" w:themeTint="98" w:themeShade="95"/>
        <w:sz w:val="22"/>
      </w:rPr>
      <w:tcPr>
        <w:shd w:val="clear" w:color="FFFFFF" w:themeColor="light1"/>
        <w:tcBorders>
          <w:left w:val="none"/>
          <w:top w:val="none"/>
          <w:right w:val="none"/>
          <w:bottom w:val="single" w:color="000000" w:sz="4" w:space="0" w:themeColor="accent6" w:themeTint="98"/>
        </w:tcBorders>
      </w:tcPr>
    </w:tblStylePr>
    <w:tblStylePr w:type="lastCol">
      <w:rPr>
        <w:rFonts w:ascii="Arial" w:hAnsi="Arial"/>
        <w:i/>
        <w:color w:val="D9680C" w:themeColor="accent6" w:themeTint="98" w:themeShade="95"/>
        <w:sz w:val="22"/>
      </w:rPr>
      <w:tcPr>
        <w:shd w:color="FFFFFF"/>
        <w:tcBorders>
          <w:left w:val="single" w:color="000000" w:sz="4" w:space="0" w:themeColor="accent6" w:themeTint="98"/>
          <w:top w:val="none"/>
          <w:right w:val="none"/>
          <w:bottom w:val="none"/>
        </w:tcBorders>
      </w:tcPr>
    </w:tblStylePr>
    <w:tblStylePr w:type="lastRow">
      <w:rPr>
        <w:rFonts w:ascii="Arial" w:hAnsi="Arial"/>
        <w:i/>
        <w:color w:val="D9680C" w:themeColor="accent6" w:themeTint="98" w:themeShade="95"/>
        <w:sz w:val="22"/>
      </w:rPr>
      <w:tcPr>
        <w:shd w:val="clear" w:color="FFFFFF" w:themeColor="light1"/>
        <w:tcBorders>
          <w:left w:val="none"/>
          <w:top w:val="single" w:color="000000" w:sz="4" w:space="0" w:themeColor="accent6" w:themeTint="98"/>
          <w:right w:val="none"/>
          <w:bottom w:val="none"/>
        </w:tcBorders>
      </w:tcPr>
    </w:tblStylePr>
    <w:tblStylePr w:type="wholeTable">
      <w:rPr>
        <w:rFonts w:ascii="Arial" w:hAnsi="Arial"/>
        <w:color w:val="D9680C" w:themeColor="accent6" w:themeTint="98" w:themeShade="95"/>
        <w:sz w:val="22"/>
      </w:rPr>
    </w:tblStylePr>
  </w:style>
  <w:style w:type="table" w:styleId="151">
    <w:name w:val="Lined - Accent"/>
    <w:basedOn w:val="64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tcPr>
    </w:tblStylePr>
    <w:tblStylePr w:type="band2Vert">
      <w:rPr>
        <w:rFonts w:ascii="Arial" w:hAnsi="Arial"/>
        <w:color w:val="404040"/>
        <w:sz w:val="22"/>
      </w:rPr>
      <w:tcPr>
        <w:shd w:val="clear" w:color="FFFFFF" w:themeColor="text1" w:themeTint="0D"/>
      </w:tcPr>
    </w:tblStylePr>
    <w:tblStylePr w:type="firstCol">
      <w:rPr>
        <w:rFonts w:ascii="Arial" w:hAnsi="Arial"/>
        <w:color w:val="F2F2F2"/>
        <w:sz w:val="22"/>
      </w:rPr>
      <w:tcPr>
        <w:shd w:val="clear" w:color="FFFFFF" w:themeColor="text1" w:themeTint="80"/>
      </w:tcPr>
    </w:tblStylePr>
    <w:tblStylePr w:type="firstRow">
      <w:rPr>
        <w:rFonts w:ascii="Arial" w:hAnsi="Arial"/>
        <w:color w:val="F2F2F2"/>
        <w:sz w:val="22"/>
      </w:rPr>
      <w:tcPr>
        <w:shd w:val="clear" w:color="FFFFFF" w:themeColor="text1" w:themeTint="80"/>
      </w:tcPr>
    </w:tblStylePr>
    <w:tblStylePr w:type="lastCol">
      <w:rPr>
        <w:rFonts w:ascii="Arial" w:hAnsi="Arial"/>
        <w:color w:val="F2F2F2"/>
        <w:sz w:val="22"/>
      </w:rPr>
      <w:tcPr>
        <w:shd w:val="clear" w:color="FFFFFF" w:themeColor="text1" w:themeTint="80"/>
      </w:tcPr>
    </w:tblStylePr>
    <w:tblStylePr w:type="lastRow">
      <w:rPr>
        <w:rFonts w:ascii="Arial" w:hAnsi="Arial"/>
        <w:color w:val="F2F2F2"/>
        <w:sz w:val="22"/>
      </w:rPr>
      <w:tcPr>
        <w:shd w:val="clear" w:color="FFFFFF" w:themeColor="text1" w:themeTint="80"/>
      </w:tcPr>
    </w:tblStylePr>
  </w:style>
  <w:style w:type="table" w:styleId="152">
    <w:name w:val="Lined - Accent 1"/>
    <w:basedOn w:val="64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tcPr>
    </w:tblStylePr>
    <w:tblStylePr w:type="band2Vert">
      <w:rPr>
        <w:rFonts w:ascii="Arial" w:hAnsi="Arial"/>
        <w:color w:val="404040"/>
        <w:sz w:val="22"/>
      </w:rPr>
      <w:tcPr>
        <w:shd w:val="clear" w:color="FFFFFF" w:themeColor="accent1" w:themeTint="50"/>
      </w:tcPr>
    </w:tblStylePr>
    <w:tblStylePr w:type="firstCol">
      <w:rPr>
        <w:rFonts w:ascii="Arial" w:hAnsi="Arial"/>
        <w:color w:val="F2F2F2"/>
        <w:sz w:val="22"/>
      </w:rPr>
      <w:tcPr>
        <w:shd w:val="clear" w:color="FFFFFF" w:themeColor="accent1" w:themeTint="EA"/>
      </w:tcPr>
    </w:tblStylePr>
    <w:tblStylePr w:type="firstRow">
      <w:rPr>
        <w:rFonts w:ascii="Arial" w:hAnsi="Arial"/>
        <w:color w:val="F2F2F2"/>
        <w:sz w:val="22"/>
      </w:rPr>
      <w:tcPr>
        <w:shd w:val="clear" w:color="FFFFFF" w:themeColor="accent1" w:themeTint="EA"/>
      </w:tcPr>
    </w:tblStylePr>
    <w:tblStylePr w:type="lastCol">
      <w:rPr>
        <w:rFonts w:ascii="Arial" w:hAnsi="Arial"/>
        <w:color w:val="F2F2F2"/>
        <w:sz w:val="22"/>
      </w:rPr>
      <w:tcPr>
        <w:shd w:val="clear" w:color="FFFFFF" w:themeColor="accent1" w:themeTint="EA"/>
      </w:tcPr>
    </w:tblStylePr>
    <w:tblStylePr w:type="lastRow">
      <w:rPr>
        <w:rFonts w:ascii="Arial" w:hAnsi="Arial"/>
        <w:color w:val="F2F2F2"/>
        <w:sz w:val="22"/>
      </w:rPr>
      <w:tcPr>
        <w:shd w:val="clear" w:color="FFFFFF" w:themeColor="accent1" w:themeTint="EA"/>
      </w:tcPr>
    </w:tblStylePr>
  </w:style>
  <w:style w:type="table" w:styleId="153">
    <w:name w:val="Lined - Accent 2"/>
    <w:basedOn w:val="64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tcPr>
    </w:tblStylePr>
    <w:tblStylePr w:type="band2Vert">
      <w:rPr>
        <w:rFonts w:ascii="Arial" w:hAnsi="Arial"/>
        <w:color w:val="404040"/>
        <w:sz w:val="22"/>
      </w:rPr>
      <w:tcPr>
        <w:shd w:val="clear" w:color="FFFFFF" w:themeColor="accent2" w:themeTint="32"/>
      </w:tcPr>
    </w:tblStylePr>
    <w:tblStylePr w:type="firstCol">
      <w:rPr>
        <w:rFonts w:ascii="Arial" w:hAnsi="Arial"/>
        <w:color w:val="F2F2F2"/>
        <w:sz w:val="22"/>
      </w:rPr>
      <w:tcPr>
        <w:shd w:val="clear" w:color="FFFFFF" w:themeColor="accent2" w:themeTint="97"/>
      </w:tcPr>
    </w:tblStylePr>
    <w:tblStylePr w:type="firstRow">
      <w:rPr>
        <w:rFonts w:ascii="Arial" w:hAnsi="Arial"/>
        <w:color w:val="F2F2F2"/>
        <w:sz w:val="22"/>
      </w:rPr>
      <w:tcPr>
        <w:shd w:val="clear" w:color="FFFFFF" w:themeColor="accent2" w:themeTint="97"/>
      </w:tcPr>
    </w:tblStylePr>
    <w:tblStylePr w:type="lastCol">
      <w:rPr>
        <w:rFonts w:ascii="Arial" w:hAnsi="Arial"/>
        <w:color w:val="F2F2F2"/>
        <w:sz w:val="22"/>
      </w:rPr>
      <w:tcPr>
        <w:shd w:val="clear" w:color="FFFFFF" w:themeColor="accent2" w:themeTint="97"/>
      </w:tcPr>
    </w:tblStylePr>
    <w:tblStylePr w:type="lastRow">
      <w:rPr>
        <w:rFonts w:ascii="Arial" w:hAnsi="Arial"/>
        <w:color w:val="F2F2F2"/>
        <w:sz w:val="22"/>
      </w:rPr>
      <w:tcPr>
        <w:shd w:val="clear" w:color="FFFFFF" w:themeColor="accent2" w:themeTint="97"/>
      </w:tcPr>
    </w:tblStylePr>
  </w:style>
  <w:style w:type="table" w:styleId="154">
    <w:name w:val="Lined - Accent 3"/>
    <w:basedOn w:val="64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tcPr>
    </w:tblStylePr>
    <w:tblStylePr w:type="band2Vert">
      <w:rPr>
        <w:rFonts w:ascii="Arial" w:hAnsi="Arial"/>
        <w:color w:val="404040"/>
        <w:sz w:val="22"/>
      </w:rPr>
      <w:tcPr>
        <w:shd w:val="clear" w:color="FFFFFF" w:themeColor="accent3" w:themeTint="34"/>
      </w:tcPr>
    </w:tblStylePr>
    <w:tblStylePr w:type="firstCol">
      <w:rPr>
        <w:rFonts w:ascii="Arial" w:hAnsi="Arial"/>
        <w:color w:val="F2F2F2"/>
        <w:sz w:val="22"/>
      </w:rPr>
      <w:tcPr>
        <w:shd w:val="clear" w:color="FFFFFF" w:themeColor="accent3" w:themeTint="FE"/>
      </w:tcPr>
    </w:tblStylePr>
    <w:tblStylePr w:type="firstRow">
      <w:rPr>
        <w:rFonts w:ascii="Arial" w:hAnsi="Arial"/>
        <w:color w:val="F2F2F2"/>
        <w:sz w:val="22"/>
      </w:rPr>
      <w:tcPr>
        <w:shd w:val="clear" w:color="FFFFFF" w:themeColor="accent3" w:themeTint="FE"/>
      </w:tcPr>
    </w:tblStylePr>
    <w:tblStylePr w:type="lastCol">
      <w:rPr>
        <w:rFonts w:ascii="Arial" w:hAnsi="Arial"/>
        <w:color w:val="F2F2F2"/>
        <w:sz w:val="22"/>
      </w:rPr>
      <w:tcPr>
        <w:shd w:val="clear" w:color="FFFFFF" w:themeColor="accent3" w:themeTint="FE"/>
      </w:tcPr>
    </w:tblStylePr>
    <w:tblStylePr w:type="lastRow">
      <w:rPr>
        <w:rFonts w:ascii="Arial" w:hAnsi="Arial"/>
        <w:color w:val="F2F2F2"/>
        <w:sz w:val="22"/>
      </w:rPr>
      <w:tcPr>
        <w:shd w:val="clear" w:color="FFFFFF" w:themeColor="accent3" w:themeTint="FE"/>
      </w:tcPr>
    </w:tblStylePr>
  </w:style>
  <w:style w:type="table" w:styleId="155">
    <w:name w:val="Lined - Accent 4"/>
    <w:basedOn w:val="64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tcPr>
    </w:tblStylePr>
    <w:tblStylePr w:type="band2Vert">
      <w:rPr>
        <w:rFonts w:ascii="Arial" w:hAnsi="Arial"/>
        <w:color w:val="404040"/>
        <w:sz w:val="22"/>
      </w:rPr>
      <w:tcPr>
        <w:shd w:val="clear" w:color="FFFFFF" w:themeColor="accent4" w:themeTint="34"/>
      </w:tcPr>
    </w:tblStylePr>
    <w:tblStylePr w:type="firstCol">
      <w:rPr>
        <w:rFonts w:ascii="Arial" w:hAnsi="Arial"/>
        <w:color w:val="F2F2F2"/>
        <w:sz w:val="22"/>
      </w:rPr>
      <w:tcPr>
        <w:shd w:val="clear" w:color="FFFFFF" w:themeColor="accent4" w:themeTint="9A"/>
      </w:tcPr>
    </w:tblStylePr>
    <w:tblStylePr w:type="firstRow">
      <w:rPr>
        <w:rFonts w:ascii="Arial" w:hAnsi="Arial"/>
        <w:color w:val="F2F2F2"/>
        <w:sz w:val="22"/>
      </w:rPr>
      <w:tcPr>
        <w:shd w:val="clear" w:color="FFFFFF" w:themeColor="accent4" w:themeTint="9A"/>
      </w:tcPr>
    </w:tblStylePr>
    <w:tblStylePr w:type="lastCol">
      <w:rPr>
        <w:rFonts w:ascii="Arial" w:hAnsi="Arial"/>
        <w:color w:val="F2F2F2"/>
        <w:sz w:val="22"/>
      </w:rPr>
      <w:tcPr>
        <w:shd w:val="clear" w:color="FFFFFF" w:themeColor="accent4" w:themeTint="9A"/>
      </w:tcPr>
    </w:tblStylePr>
    <w:tblStylePr w:type="lastRow">
      <w:rPr>
        <w:rFonts w:ascii="Arial" w:hAnsi="Arial"/>
        <w:color w:val="F2F2F2"/>
        <w:sz w:val="22"/>
      </w:rPr>
      <w:tcPr>
        <w:shd w:val="clear" w:color="FFFFFF" w:themeColor="accent4" w:themeTint="9A"/>
      </w:tcPr>
    </w:tblStylePr>
  </w:style>
  <w:style w:type="table" w:styleId="156">
    <w:name w:val="Lined - Accent 5"/>
    <w:basedOn w:val="64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tcPr>
    </w:tblStylePr>
    <w:tblStylePr w:type="band2Vert">
      <w:rPr>
        <w:rFonts w:ascii="Arial" w:hAnsi="Arial"/>
        <w:color w:val="404040"/>
        <w:sz w:val="22"/>
      </w:rPr>
      <w:tcPr>
        <w:shd w:val="clear" w:color="FFFFFF" w:themeColor="accent5" w:themeTint="34"/>
      </w:tcPr>
    </w:tblStylePr>
    <w:tblStylePr w:type="firstCol">
      <w:rPr>
        <w:rFonts w:ascii="Arial" w:hAnsi="Arial"/>
        <w:color w:val="F2F2F2"/>
        <w:sz w:val="22"/>
      </w:rPr>
      <w:tcPr>
        <w:shd w:val="clear" w:color="FFFFFF" w:themeColor="accent5"/>
      </w:tcPr>
    </w:tblStylePr>
    <w:tblStylePr w:type="firstRow">
      <w:rPr>
        <w:rFonts w:ascii="Arial" w:hAnsi="Arial"/>
        <w:color w:val="F2F2F2"/>
        <w:sz w:val="22"/>
      </w:rPr>
      <w:tcPr>
        <w:shd w:val="clear" w:color="FFFFFF" w:themeColor="accent5"/>
      </w:tcPr>
    </w:tblStylePr>
    <w:tblStylePr w:type="lastCol">
      <w:rPr>
        <w:rFonts w:ascii="Arial" w:hAnsi="Arial"/>
        <w:color w:val="F2F2F2"/>
        <w:sz w:val="22"/>
      </w:rPr>
      <w:tcPr>
        <w:shd w:val="clear" w:color="FFFFFF" w:themeColor="accent5"/>
      </w:tcPr>
    </w:tblStylePr>
    <w:tblStylePr w:type="lastRow">
      <w:rPr>
        <w:rFonts w:ascii="Arial" w:hAnsi="Arial"/>
        <w:color w:val="F2F2F2"/>
        <w:sz w:val="22"/>
      </w:rPr>
      <w:tcPr>
        <w:shd w:val="clear" w:color="FFFFFF" w:themeColor="accent5"/>
      </w:tcPr>
    </w:tblStylePr>
  </w:style>
  <w:style w:type="table" w:styleId="157">
    <w:name w:val="Lined - Accent 6"/>
    <w:basedOn w:val="646"/>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tcPr>
    </w:tblStylePr>
    <w:tblStylePr w:type="band2Vert">
      <w:rPr>
        <w:rFonts w:ascii="Arial" w:hAnsi="Arial"/>
        <w:color w:val="404040"/>
        <w:sz w:val="22"/>
      </w:rPr>
      <w:tcPr>
        <w:shd w:val="clear" w:color="FFFFFF" w:themeColor="accent6" w:themeTint="34"/>
      </w:tcPr>
    </w:tblStylePr>
    <w:tblStylePr w:type="firstCol">
      <w:rPr>
        <w:rFonts w:ascii="Arial" w:hAnsi="Arial"/>
        <w:color w:val="F2F2F2"/>
        <w:sz w:val="22"/>
      </w:rPr>
      <w:tcPr>
        <w:shd w:val="clear" w:color="FFFFFF" w:themeColor="accent6"/>
      </w:tcPr>
    </w:tblStylePr>
    <w:tblStylePr w:type="firstRow">
      <w:rPr>
        <w:rFonts w:ascii="Arial" w:hAnsi="Arial"/>
        <w:color w:val="F2F2F2"/>
        <w:sz w:val="22"/>
      </w:rPr>
      <w:tcPr>
        <w:shd w:val="clear" w:color="FFFFFF" w:themeColor="accent6"/>
      </w:tcPr>
    </w:tblStylePr>
    <w:tblStylePr w:type="lastCol">
      <w:rPr>
        <w:rFonts w:ascii="Arial" w:hAnsi="Arial"/>
        <w:color w:val="F2F2F2"/>
        <w:sz w:val="22"/>
      </w:rPr>
      <w:tcPr>
        <w:shd w:val="clear" w:color="FFFFFF" w:themeColor="accent6"/>
      </w:tcPr>
    </w:tblStylePr>
    <w:tblStylePr w:type="lastRow">
      <w:rPr>
        <w:rFonts w:ascii="Arial" w:hAnsi="Arial"/>
        <w:color w:val="F2F2F2"/>
        <w:sz w:val="22"/>
      </w:rPr>
      <w:tcPr>
        <w:shd w:val="clear" w:color="FFFFFF" w:themeColor="accent6"/>
      </w:tcPr>
    </w:tblStylePr>
  </w:style>
  <w:style w:type="table" w:styleId="158">
    <w:name w:val="Bordered &amp; Lined - Accent"/>
    <w:basedOn w:val="646"/>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tcPr>
    </w:tblStylePr>
    <w:tblStylePr w:type="band2Vert">
      <w:rPr>
        <w:rFonts w:ascii="Arial" w:hAnsi="Arial"/>
        <w:color w:val="404040"/>
        <w:sz w:val="22"/>
      </w:rPr>
      <w:tcPr>
        <w:shd w:val="clear" w:color="FFFFFF" w:themeColor="text1" w:themeTint="0D"/>
      </w:tcPr>
    </w:tblStylePr>
    <w:tblStylePr w:type="firstCol">
      <w:rPr>
        <w:rFonts w:ascii="Arial" w:hAnsi="Arial"/>
        <w:color w:val="F2F2F2"/>
        <w:sz w:val="22"/>
      </w:rPr>
      <w:tcPr>
        <w:shd w:val="clear" w:color="FFFFFF" w:themeColor="text1" w:themeTint="80"/>
      </w:tcPr>
    </w:tblStylePr>
    <w:tblStylePr w:type="firstRow">
      <w:rPr>
        <w:rFonts w:ascii="Arial" w:hAnsi="Arial"/>
        <w:color w:val="F2F2F2"/>
        <w:sz w:val="22"/>
      </w:rPr>
      <w:tcPr>
        <w:shd w:val="clear" w:color="FFFFFF" w:themeColor="text1" w:themeTint="80"/>
      </w:tcPr>
    </w:tblStylePr>
    <w:tblStylePr w:type="lastCol">
      <w:rPr>
        <w:rFonts w:ascii="Arial" w:hAnsi="Arial"/>
        <w:color w:val="F2F2F2"/>
        <w:sz w:val="22"/>
      </w:rPr>
      <w:tcPr>
        <w:shd w:val="clear" w:color="FFFFFF" w:themeColor="text1" w:themeTint="80"/>
      </w:tcPr>
    </w:tblStylePr>
    <w:tblStylePr w:type="lastRow">
      <w:rPr>
        <w:rFonts w:ascii="Arial" w:hAnsi="Arial"/>
        <w:color w:val="F2F2F2"/>
        <w:sz w:val="22"/>
      </w:rPr>
      <w:tcPr>
        <w:shd w:val="clear" w:color="FFFFFF" w:themeColor="text1" w:themeTint="80"/>
      </w:tcPr>
    </w:tblStylePr>
  </w:style>
  <w:style w:type="table" w:styleId="159">
    <w:name w:val="Bordered &amp; Lined - Accent 1"/>
    <w:basedOn w:val="646"/>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tcPr>
    </w:tblStylePr>
    <w:tblStylePr w:type="band2Vert">
      <w:rPr>
        <w:rFonts w:ascii="Arial" w:hAnsi="Arial"/>
        <w:color w:val="404040"/>
        <w:sz w:val="22"/>
      </w:rPr>
      <w:tcPr>
        <w:shd w:val="clear" w:color="FFFFFF" w:themeColor="accent1" w:themeTint="50"/>
      </w:tcPr>
    </w:tblStylePr>
    <w:tblStylePr w:type="firstCol">
      <w:rPr>
        <w:rFonts w:ascii="Arial" w:hAnsi="Arial"/>
        <w:color w:val="F2F2F2"/>
        <w:sz w:val="22"/>
      </w:rPr>
      <w:tcPr>
        <w:shd w:val="clear" w:color="FFFFFF" w:themeColor="accent1" w:themeTint="EA"/>
      </w:tcPr>
    </w:tblStylePr>
    <w:tblStylePr w:type="firstRow">
      <w:rPr>
        <w:rFonts w:ascii="Arial" w:hAnsi="Arial"/>
        <w:color w:val="F2F2F2"/>
        <w:sz w:val="22"/>
      </w:rPr>
      <w:tcPr>
        <w:shd w:val="clear" w:color="FFFFFF" w:themeColor="accent1" w:themeTint="EA"/>
      </w:tcPr>
    </w:tblStylePr>
    <w:tblStylePr w:type="lastCol">
      <w:rPr>
        <w:rFonts w:ascii="Arial" w:hAnsi="Arial"/>
        <w:color w:val="F2F2F2"/>
        <w:sz w:val="22"/>
      </w:rPr>
      <w:tcPr>
        <w:shd w:val="clear" w:color="FFFFFF" w:themeColor="accent1" w:themeTint="EA"/>
      </w:tcPr>
    </w:tblStylePr>
    <w:tblStylePr w:type="lastRow">
      <w:rPr>
        <w:rFonts w:ascii="Arial" w:hAnsi="Arial"/>
        <w:color w:val="F2F2F2"/>
        <w:sz w:val="22"/>
      </w:rPr>
      <w:tcPr>
        <w:shd w:val="clear" w:color="FFFFFF" w:themeColor="accent1" w:themeTint="EA"/>
      </w:tcPr>
    </w:tblStylePr>
  </w:style>
  <w:style w:type="table" w:styleId="160">
    <w:name w:val="Bordered &amp; Lined - Accent 2"/>
    <w:basedOn w:val="646"/>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tcPr>
    </w:tblStylePr>
    <w:tblStylePr w:type="band2Vert">
      <w:rPr>
        <w:rFonts w:ascii="Arial" w:hAnsi="Arial"/>
        <w:color w:val="404040"/>
        <w:sz w:val="22"/>
      </w:rPr>
      <w:tcPr>
        <w:shd w:val="clear" w:color="FFFFFF" w:themeColor="accent2" w:themeTint="32"/>
      </w:tcPr>
    </w:tblStylePr>
    <w:tblStylePr w:type="firstCol">
      <w:rPr>
        <w:rFonts w:ascii="Arial" w:hAnsi="Arial"/>
        <w:color w:val="F2F2F2"/>
        <w:sz w:val="22"/>
      </w:rPr>
      <w:tcPr>
        <w:shd w:val="clear" w:color="FFFFFF" w:themeColor="accent2" w:themeTint="97"/>
      </w:tcPr>
    </w:tblStylePr>
    <w:tblStylePr w:type="firstRow">
      <w:rPr>
        <w:rFonts w:ascii="Arial" w:hAnsi="Arial"/>
        <w:color w:val="F2F2F2"/>
        <w:sz w:val="22"/>
      </w:rPr>
      <w:tcPr>
        <w:shd w:val="clear" w:color="FFFFFF" w:themeColor="accent2" w:themeTint="97"/>
      </w:tcPr>
    </w:tblStylePr>
    <w:tblStylePr w:type="lastCol">
      <w:rPr>
        <w:rFonts w:ascii="Arial" w:hAnsi="Arial"/>
        <w:color w:val="F2F2F2"/>
        <w:sz w:val="22"/>
      </w:rPr>
      <w:tcPr>
        <w:shd w:val="clear" w:color="FFFFFF" w:themeColor="accent2" w:themeTint="97"/>
      </w:tcPr>
    </w:tblStylePr>
    <w:tblStylePr w:type="lastRow">
      <w:rPr>
        <w:rFonts w:ascii="Arial" w:hAnsi="Arial"/>
        <w:color w:val="F2F2F2"/>
        <w:sz w:val="22"/>
      </w:rPr>
      <w:tcPr>
        <w:shd w:val="clear" w:color="FFFFFF" w:themeColor="accent2" w:themeTint="97"/>
      </w:tcPr>
    </w:tblStylePr>
  </w:style>
  <w:style w:type="table" w:styleId="161">
    <w:name w:val="Bordered &amp; Lined - Accent 3"/>
    <w:basedOn w:val="646"/>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tcPr>
    </w:tblStylePr>
    <w:tblStylePr w:type="band2Vert">
      <w:rPr>
        <w:rFonts w:ascii="Arial" w:hAnsi="Arial"/>
        <w:color w:val="404040"/>
        <w:sz w:val="22"/>
      </w:rPr>
      <w:tcPr>
        <w:shd w:val="clear" w:color="FFFFFF" w:themeColor="accent3" w:themeTint="34"/>
      </w:tcPr>
    </w:tblStylePr>
    <w:tblStylePr w:type="firstCol">
      <w:rPr>
        <w:rFonts w:ascii="Arial" w:hAnsi="Arial"/>
        <w:color w:val="F2F2F2"/>
        <w:sz w:val="22"/>
      </w:rPr>
      <w:tcPr>
        <w:shd w:val="clear" w:color="FFFFFF" w:themeColor="accent3" w:themeTint="FE"/>
      </w:tcPr>
    </w:tblStylePr>
    <w:tblStylePr w:type="firstRow">
      <w:rPr>
        <w:rFonts w:ascii="Arial" w:hAnsi="Arial"/>
        <w:color w:val="F2F2F2"/>
        <w:sz w:val="22"/>
      </w:rPr>
      <w:tcPr>
        <w:shd w:val="clear" w:color="FFFFFF" w:themeColor="accent3" w:themeTint="FE"/>
      </w:tcPr>
    </w:tblStylePr>
    <w:tblStylePr w:type="lastCol">
      <w:rPr>
        <w:rFonts w:ascii="Arial" w:hAnsi="Arial"/>
        <w:color w:val="F2F2F2"/>
        <w:sz w:val="22"/>
      </w:rPr>
      <w:tcPr>
        <w:shd w:val="clear" w:color="FFFFFF" w:themeColor="accent3" w:themeTint="FE"/>
      </w:tcPr>
    </w:tblStylePr>
    <w:tblStylePr w:type="lastRow">
      <w:rPr>
        <w:rFonts w:ascii="Arial" w:hAnsi="Arial"/>
        <w:color w:val="F2F2F2"/>
        <w:sz w:val="22"/>
      </w:rPr>
      <w:tcPr>
        <w:shd w:val="clear" w:color="FFFFFF" w:themeColor="accent3" w:themeTint="FE"/>
      </w:tcPr>
    </w:tblStylePr>
  </w:style>
  <w:style w:type="table" w:styleId="162">
    <w:name w:val="Bordered &amp; Lined - Accent 4"/>
    <w:basedOn w:val="646"/>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tcPr>
    </w:tblStylePr>
    <w:tblStylePr w:type="band2Vert">
      <w:rPr>
        <w:rFonts w:ascii="Arial" w:hAnsi="Arial"/>
        <w:color w:val="404040"/>
        <w:sz w:val="22"/>
      </w:rPr>
      <w:tcPr>
        <w:shd w:val="clear" w:color="FFFFFF" w:themeColor="accent4" w:themeTint="34"/>
      </w:tcPr>
    </w:tblStylePr>
    <w:tblStylePr w:type="firstCol">
      <w:rPr>
        <w:rFonts w:ascii="Arial" w:hAnsi="Arial"/>
        <w:color w:val="F2F2F2"/>
        <w:sz w:val="22"/>
      </w:rPr>
      <w:tcPr>
        <w:shd w:val="clear" w:color="FFFFFF" w:themeColor="accent4" w:themeTint="9A"/>
      </w:tcPr>
    </w:tblStylePr>
    <w:tblStylePr w:type="firstRow">
      <w:rPr>
        <w:rFonts w:ascii="Arial" w:hAnsi="Arial"/>
        <w:color w:val="F2F2F2"/>
        <w:sz w:val="22"/>
      </w:rPr>
      <w:tcPr>
        <w:shd w:val="clear" w:color="FFFFFF" w:themeColor="accent4" w:themeTint="9A"/>
      </w:tcPr>
    </w:tblStylePr>
    <w:tblStylePr w:type="lastCol">
      <w:rPr>
        <w:rFonts w:ascii="Arial" w:hAnsi="Arial"/>
        <w:color w:val="F2F2F2"/>
        <w:sz w:val="22"/>
      </w:rPr>
      <w:tcPr>
        <w:shd w:val="clear" w:color="FFFFFF" w:themeColor="accent4" w:themeTint="9A"/>
      </w:tcPr>
    </w:tblStylePr>
    <w:tblStylePr w:type="lastRow">
      <w:rPr>
        <w:rFonts w:ascii="Arial" w:hAnsi="Arial"/>
        <w:color w:val="F2F2F2"/>
        <w:sz w:val="22"/>
      </w:rPr>
      <w:tcPr>
        <w:shd w:val="clear" w:color="FFFFFF" w:themeColor="accent4" w:themeTint="9A"/>
      </w:tcPr>
    </w:tblStylePr>
  </w:style>
  <w:style w:type="table" w:styleId="163">
    <w:name w:val="Bordered &amp; Lined - Accent 5"/>
    <w:basedOn w:val="646"/>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tcPr>
    </w:tblStylePr>
    <w:tblStylePr w:type="band2Vert">
      <w:rPr>
        <w:rFonts w:ascii="Arial" w:hAnsi="Arial"/>
        <w:color w:val="404040"/>
        <w:sz w:val="22"/>
      </w:rPr>
      <w:tcPr>
        <w:shd w:val="clear" w:color="FFFFFF" w:themeColor="accent5" w:themeTint="34"/>
      </w:tcPr>
    </w:tblStylePr>
    <w:tblStylePr w:type="firstCol">
      <w:rPr>
        <w:rFonts w:ascii="Arial" w:hAnsi="Arial"/>
        <w:color w:val="F2F2F2"/>
        <w:sz w:val="22"/>
      </w:rPr>
      <w:tcPr>
        <w:shd w:val="clear" w:color="FFFFFF" w:themeColor="accent5"/>
      </w:tcPr>
    </w:tblStylePr>
    <w:tblStylePr w:type="firstRow">
      <w:rPr>
        <w:rFonts w:ascii="Arial" w:hAnsi="Arial"/>
        <w:color w:val="F2F2F2"/>
        <w:sz w:val="22"/>
      </w:rPr>
      <w:tcPr>
        <w:shd w:val="clear" w:color="FFFFFF" w:themeColor="accent5"/>
      </w:tcPr>
    </w:tblStylePr>
    <w:tblStylePr w:type="lastCol">
      <w:rPr>
        <w:rFonts w:ascii="Arial" w:hAnsi="Arial"/>
        <w:color w:val="F2F2F2"/>
        <w:sz w:val="22"/>
      </w:rPr>
      <w:tcPr>
        <w:shd w:val="clear" w:color="FFFFFF" w:themeColor="accent5"/>
      </w:tcPr>
    </w:tblStylePr>
    <w:tblStylePr w:type="lastRow">
      <w:rPr>
        <w:rFonts w:ascii="Arial" w:hAnsi="Arial"/>
        <w:color w:val="F2F2F2"/>
        <w:sz w:val="22"/>
      </w:rPr>
      <w:tcPr>
        <w:shd w:val="clear" w:color="FFFFFF" w:themeColor="accent5"/>
      </w:tcPr>
    </w:tblStylePr>
  </w:style>
  <w:style w:type="table" w:styleId="164">
    <w:name w:val="Bordered &amp; Lined - Accent 6"/>
    <w:basedOn w:val="646"/>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tcPr>
    </w:tblStylePr>
    <w:tblStylePr w:type="band2Vert">
      <w:rPr>
        <w:rFonts w:ascii="Arial" w:hAnsi="Arial"/>
        <w:color w:val="404040"/>
        <w:sz w:val="22"/>
      </w:rPr>
      <w:tcPr>
        <w:shd w:val="clear" w:color="FFFFFF" w:themeColor="accent6" w:themeTint="34"/>
      </w:tcPr>
    </w:tblStylePr>
    <w:tblStylePr w:type="firstCol">
      <w:rPr>
        <w:rFonts w:ascii="Arial" w:hAnsi="Arial"/>
        <w:color w:val="F2F2F2"/>
        <w:sz w:val="22"/>
      </w:rPr>
      <w:tcPr>
        <w:shd w:val="clear" w:color="FFFFFF" w:themeColor="accent6"/>
      </w:tcPr>
    </w:tblStylePr>
    <w:tblStylePr w:type="firstRow">
      <w:rPr>
        <w:rFonts w:ascii="Arial" w:hAnsi="Arial"/>
        <w:color w:val="F2F2F2"/>
        <w:sz w:val="22"/>
      </w:rPr>
      <w:tcPr>
        <w:shd w:val="clear" w:color="FFFFFF" w:themeColor="accent6"/>
      </w:tcPr>
    </w:tblStylePr>
    <w:tblStylePr w:type="lastCol">
      <w:rPr>
        <w:rFonts w:ascii="Arial" w:hAnsi="Arial"/>
        <w:color w:val="F2F2F2"/>
        <w:sz w:val="22"/>
      </w:rPr>
      <w:tcPr>
        <w:shd w:val="clear" w:color="FFFFFF" w:themeColor="accent6"/>
      </w:tcPr>
    </w:tblStylePr>
    <w:tblStylePr w:type="lastRow">
      <w:rPr>
        <w:rFonts w:ascii="Arial" w:hAnsi="Arial"/>
        <w:color w:val="F2F2F2"/>
        <w:sz w:val="22"/>
      </w:rPr>
      <w:tcPr>
        <w:shd w:val="clear" w:color="FFFFFF" w:themeColor="accent6"/>
      </w:tcPr>
    </w:tblStylePr>
  </w:style>
  <w:style w:type="table" w:styleId="165">
    <w:name w:val="Bordered"/>
    <w:basedOn w:val="646"/>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166">
    <w:name w:val="Bordered - Accent 1"/>
    <w:basedOn w:val="646"/>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167">
    <w:name w:val="Bordered - Accent 2"/>
    <w:basedOn w:val="646"/>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168">
    <w:name w:val="Bordered - Accent 3"/>
    <w:basedOn w:val="646"/>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169">
    <w:name w:val="Bordered - Accent 4"/>
    <w:basedOn w:val="646"/>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170">
    <w:name w:val="Bordered - Accent 5"/>
    <w:basedOn w:val="646"/>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171">
    <w:name w:val="Bordered - Accent 6"/>
    <w:basedOn w:val="646"/>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paragraph" w:styleId="173">
    <w:name w:val="footnote text"/>
    <w:basedOn w:val="644"/>
    <w:link w:val="174"/>
    <w:uiPriority w:val="99"/>
    <w:semiHidden/>
    <w:unhideWhenUsed/>
    <w:rPr>
      <w:sz w:val="18"/>
    </w:rPr>
    <w:pPr>
      <w:spacing w:lineRule="auto" w:line="240" w:after="40"/>
    </w:pPr>
  </w:style>
  <w:style w:type="character" w:styleId="174">
    <w:name w:val="Footnote Text Char"/>
    <w:link w:val="173"/>
    <w:uiPriority w:val="99"/>
    <w:rPr>
      <w:sz w:val="18"/>
    </w:rPr>
  </w:style>
  <w:style w:type="character" w:styleId="175">
    <w:name w:val="footnote reference"/>
    <w:basedOn w:val="645"/>
    <w:uiPriority w:val="99"/>
    <w:unhideWhenUsed/>
    <w:rPr>
      <w:vertAlign w:val="superscript"/>
    </w:rPr>
  </w:style>
  <w:style w:type="paragraph" w:styleId="176">
    <w:name w:val="endnote text"/>
    <w:basedOn w:val="644"/>
    <w:link w:val="177"/>
    <w:uiPriority w:val="99"/>
    <w:semiHidden/>
    <w:unhideWhenUsed/>
    <w:rPr>
      <w:sz w:val="20"/>
    </w:rPr>
    <w:pPr>
      <w:spacing w:lineRule="auto" w:line="240" w:after="0"/>
    </w:pPr>
  </w:style>
  <w:style w:type="character" w:styleId="177">
    <w:name w:val="Endnote Text Char"/>
    <w:link w:val="176"/>
    <w:uiPriority w:val="99"/>
    <w:rPr>
      <w:sz w:val="20"/>
    </w:rPr>
  </w:style>
  <w:style w:type="character" w:styleId="178">
    <w:name w:val="endnote reference"/>
    <w:basedOn w:val="645"/>
    <w:uiPriority w:val="99"/>
    <w:semiHidden/>
    <w:unhideWhenUsed/>
    <w:rPr>
      <w:vertAlign w:val="superscript"/>
    </w:rPr>
  </w:style>
  <w:style w:type="paragraph" w:styleId="179">
    <w:name w:val="toc 1"/>
    <w:basedOn w:val="644"/>
    <w:next w:val="644"/>
    <w:uiPriority w:val="39"/>
    <w:unhideWhenUsed/>
    <w:pPr>
      <w:ind w:left="0" w:right="0" w:firstLine="0"/>
      <w:spacing w:after="57"/>
    </w:pPr>
  </w:style>
  <w:style w:type="paragraph" w:styleId="180">
    <w:name w:val="toc 2"/>
    <w:basedOn w:val="644"/>
    <w:next w:val="644"/>
    <w:uiPriority w:val="39"/>
    <w:unhideWhenUsed/>
    <w:pPr>
      <w:ind w:left="283" w:right="0" w:firstLine="0"/>
      <w:spacing w:after="57"/>
    </w:pPr>
  </w:style>
  <w:style w:type="paragraph" w:styleId="181">
    <w:name w:val="toc 3"/>
    <w:basedOn w:val="644"/>
    <w:next w:val="644"/>
    <w:uiPriority w:val="39"/>
    <w:unhideWhenUsed/>
    <w:pPr>
      <w:ind w:left="567" w:right="0" w:firstLine="0"/>
      <w:spacing w:after="57"/>
    </w:pPr>
  </w:style>
  <w:style w:type="paragraph" w:styleId="182">
    <w:name w:val="toc 4"/>
    <w:basedOn w:val="644"/>
    <w:next w:val="644"/>
    <w:uiPriority w:val="39"/>
    <w:unhideWhenUsed/>
    <w:pPr>
      <w:ind w:left="850" w:right="0" w:firstLine="0"/>
      <w:spacing w:after="57"/>
    </w:pPr>
  </w:style>
  <w:style w:type="paragraph" w:styleId="183">
    <w:name w:val="toc 5"/>
    <w:basedOn w:val="644"/>
    <w:next w:val="644"/>
    <w:uiPriority w:val="39"/>
    <w:unhideWhenUsed/>
    <w:pPr>
      <w:ind w:left="1134" w:right="0" w:firstLine="0"/>
      <w:spacing w:after="57"/>
    </w:pPr>
  </w:style>
  <w:style w:type="paragraph" w:styleId="184">
    <w:name w:val="toc 6"/>
    <w:basedOn w:val="644"/>
    <w:next w:val="644"/>
    <w:uiPriority w:val="39"/>
    <w:unhideWhenUsed/>
    <w:pPr>
      <w:ind w:left="1417" w:right="0" w:firstLine="0"/>
      <w:spacing w:after="57"/>
    </w:pPr>
  </w:style>
  <w:style w:type="paragraph" w:styleId="185">
    <w:name w:val="toc 7"/>
    <w:basedOn w:val="644"/>
    <w:next w:val="644"/>
    <w:uiPriority w:val="39"/>
    <w:unhideWhenUsed/>
    <w:pPr>
      <w:ind w:left="1701" w:right="0" w:firstLine="0"/>
      <w:spacing w:after="57"/>
    </w:pPr>
  </w:style>
  <w:style w:type="paragraph" w:styleId="186">
    <w:name w:val="toc 8"/>
    <w:basedOn w:val="644"/>
    <w:next w:val="644"/>
    <w:uiPriority w:val="39"/>
    <w:unhideWhenUsed/>
    <w:pPr>
      <w:ind w:left="1984" w:right="0" w:firstLine="0"/>
      <w:spacing w:after="57"/>
    </w:pPr>
  </w:style>
  <w:style w:type="paragraph" w:styleId="187">
    <w:name w:val="toc 9"/>
    <w:basedOn w:val="644"/>
    <w:next w:val="644"/>
    <w:uiPriority w:val="39"/>
    <w:unhideWhenUsed/>
    <w:pPr>
      <w:ind w:left="2268" w:right="0" w:firstLine="0"/>
      <w:spacing w:after="57"/>
    </w:pPr>
  </w:style>
  <w:style w:type="paragraph" w:styleId="188">
    <w:name w:val="TOC Heading"/>
    <w:uiPriority w:val="39"/>
    <w:unhideWhenUsed/>
  </w:style>
  <w:style w:type="paragraph" w:styleId="189">
    <w:name w:val="table of figures"/>
    <w:basedOn w:val="644"/>
    <w:next w:val="644"/>
    <w:uiPriority w:val="99"/>
    <w:unhideWhenUsed/>
    <w:pPr>
      <w:spacing w:after="0" w:afterAutospacing="0"/>
    </w:pPr>
  </w:style>
  <w:style w:type="paragraph" w:styleId="644" w:default="1">
    <w:name w:val="Normal"/>
    <w:qFormat/>
  </w:style>
  <w:style w:type="character" w:styleId="645" w:default="1">
    <w:name w:val="Default Paragraph Font"/>
    <w:uiPriority w:val="1"/>
    <w:semiHidden/>
    <w:unhideWhenUsed/>
  </w:style>
  <w:style w:type="table" w:styleId="646" w:default="1">
    <w:name w:val="Normal Table"/>
    <w:uiPriority w:val="99"/>
    <w:semiHidden/>
    <w:unhideWhenUsed/>
    <w:tblPr>
      <w:tblInd w:w="0" w:type="dxa"/>
      <w:tblCellMar>
        <w:left w:w="108" w:type="dxa"/>
        <w:top w:w="0" w:type="dxa"/>
        <w:right w:w="108" w:type="dxa"/>
        <w:bottom w:w="0" w:type="dxa"/>
      </w:tblCellMar>
    </w:tblPr>
  </w:style>
  <w:style w:type="numbering" w:styleId="647" w:default="1">
    <w:name w:val="No List"/>
    <w:uiPriority w:val="99"/>
    <w:semiHidden/>
    <w:unhideWhenUsed/>
  </w:style>
  <w:style w:type="paragraph" w:styleId="648" w:customStyle="1">
    <w:name w:val="pptdata"/>
    <w:basedOn w:val="644"/>
    <w:rPr>
      <w:rFonts w:ascii="Times New Roman" w:hAnsi="Times New Roman" w:cs="Times New Roman" w:eastAsia="Times New Roman"/>
      <w:sz w:val="24"/>
      <w:szCs w:val="24"/>
      <w:lang w:eastAsia="ru-RU"/>
    </w:rPr>
    <w:pPr>
      <w:spacing w:lineRule="auto" w:line="240" w:after="100" w:afterAutospacing="1" w:before="100" w:beforeAutospacing="1"/>
    </w:pPr>
  </w:style>
  <w:style w:type="paragraph" w:styleId="649">
    <w:name w:val="Normal (Web)"/>
    <w:basedOn w:val="644"/>
    <w:uiPriority w:val="99"/>
    <w:unhideWhenUsed/>
    <w:rPr>
      <w:rFonts w:ascii="Times New Roman" w:hAnsi="Times New Roman" w:cs="Times New Roman" w:eastAsia="Times New Roman"/>
      <w:sz w:val="24"/>
      <w:szCs w:val="24"/>
      <w:lang w:eastAsia="ru-RU"/>
    </w:rPr>
    <w:pPr>
      <w:spacing w:lineRule="auto" w:line="240" w:after="100" w:afterAutospacing="1" w:before="100" w:beforeAutospacing="1"/>
    </w:pPr>
  </w:style>
  <w:style w:type="character" w:styleId="650">
    <w:name w:val="Hyperlink"/>
    <w:basedOn w:val="645"/>
    <w:uiPriority w:val="99"/>
    <w:semiHidden/>
    <w:unhideWhenUsed/>
    <w:rPr>
      <w:color w:val="0000FF"/>
      <w:u w:val="single"/>
    </w:rPr>
  </w:style>
  <w:style w:type="paragraph" w:styleId="651">
    <w:name w:val="Title"/>
    <w:basedOn w:val="644"/>
    <w:link w:val="652"/>
    <w:rPr>
      <w:rFonts w:ascii="Times New Roman" w:hAnsi="Times New Roman" w:cs="Times New Roman" w:eastAsia="Times New Roman"/>
      <w:sz w:val="28"/>
      <w:szCs w:val="24"/>
      <w:lang w:val="en-US" w:eastAsia="ru-RU"/>
    </w:rPr>
    <w:pPr>
      <w:jc w:val="center"/>
      <w:spacing w:lineRule="auto" w:line="240" w:after="0"/>
    </w:pPr>
  </w:style>
  <w:style w:type="character" w:styleId="652" w:customStyle="1">
    <w:name w:val="Назва Знак"/>
    <w:basedOn w:val="645"/>
    <w:link w:val="651"/>
    <w:rPr>
      <w:rFonts w:ascii="Times New Roman" w:hAnsi="Times New Roman" w:cs="Times New Roman" w:eastAsia="Times New Roman"/>
      <w:sz w:val="28"/>
      <w:szCs w:val="24"/>
      <w:lang w:val="en-US" w:eastAsia="ru-RU"/>
    </w:rPr>
  </w:style>
  <w:style w:type="paragraph" w:styleId="653" w:customStyle="1">
    <w:name w:val="docdata;docy;v5;9849;baiaagaaboqcaaadaiaaaav4iaaaaaaaaaaaaaaaaaaaaaaaaaaaaaaaaaaaaaaaaaaaaaaaaaaaaaaaaaaaaaaaaaaaaaaaaaaaaaaaaaaaaaaaaaaaaaaaaaaaaaaaaaaaaaaaaaaaaaaaaaaaaaaaaaaaaaaaaaaaaaaaaaaaaaaaaaaaaaaaaaaaaaaaaaaaaaaaaaaaaaaaaaaaaaaaaaaaaaaaaaaaaaaa"/>
    <w:basedOn w:val="644"/>
    <w:rPr>
      <w:rFonts w:ascii="Times New Roman" w:hAnsi="Times New Roman" w:cs="Times New Roman" w:eastAsia="Times New Roman"/>
      <w:sz w:val="24"/>
      <w:szCs w:val="24"/>
      <w:lang w:eastAsia="ru-RU"/>
    </w:rPr>
    <w:pPr>
      <w:spacing w:lineRule="auto" w:line="240" w:after="100" w:afterAutospacing="1" w:before="100" w:beforeAutospacing="1"/>
    </w:pPr>
  </w:style>
  <w:style w:type="paragraph" w:styleId="654">
    <w:name w:val="Header"/>
    <w:basedOn w:val="644"/>
    <w:link w:val="655"/>
    <w:uiPriority w:val="99"/>
    <w:unhideWhenUsed/>
    <w:pPr>
      <w:spacing w:lineRule="auto" w:line="240" w:after="0"/>
      <w:tabs>
        <w:tab w:val="center" w:pos="4677" w:leader="none"/>
        <w:tab w:val="right" w:pos="9355" w:leader="none"/>
      </w:tabs>
    </w:pPr>
  </w:style>
  <w:style w:type="character" w:styleId="655" w:customStyle="1">
    <w:name w:val="Верхній колонтитул Знак"/>
    <w:basedOn w:val="645"/>
    <w:link w:val="654"/>
    <w:uiPriority w:val="99"/>
  </w:style>
  <w:style w:type="paragraph" w:styleId="656">
    <w:name w:val="Footer"/>
    <w:basedOn w:val="644"/>
    <w:link w:val="657"/>
    <w:uiPriority w:val="99"/>
    <w:semiHidden/>
    <w:unhideWhenUsed/>
    <w:pPr>
      <w:spacing w:lineRule="auto" w:line="240" w:after="0"/>
      <w:tabs>
        <w:tab w:val="center" w:pos="4677" w:leader="none"/>
        <w:tab w:val="right" w:pos="9355" w:leader="none"/>
      </w:tabs>
    </w:pPr>
  </w:style>
  <w:style w:type="character" w:styleId="657" w:customStyle="1">
    <w:name w:val="Нижній колонтитул Знак"/>
    <w:basedOn w:val="645"/>
    <w:link w:val="656"/>
    <w:uiPriority w:val="99"/>
    <w:semiHidden/>
  </w:style>
  <w:style w:type="paragraph" w:styleId="658">
    <w:name w:val="Balloon Text"/>
    <w:basedOn w:val="644"/>
    <w:link w:val="659"/>
    <w:uiPriority w:val="99"/>
    <w:semiHidden/>
    <w:unhideWhenUsed/>
    <w:rPr>
      <w:rFonts w:ascii="Tahoma" w:hAnsi="Tahoma" w:cs="Tahoma"/>
      <w:sz w:val="16"/>
      <w:szCs w:val="16"/>
    </w:rPr>
    <w:pPr>
      <w:spacing w:lineRule="auto" w:line="240" w:after="0"/>
    </w:pPr>
  </w:style>
  <w:style w:type="character" w:styleId="659" w:customStyle="1">
    <w:name w:val="Текст у виносці Знак"/>
    <w:basedOn w:val="645"/>
    <w:link w:val="658"/>
    <w:uiPriority w:val="99"/>
    <w:semiHidden/>
    <w:rPr>
      <w:rFonts w:ascii="Tahoma" w:hAnsi="Tahoma" w:cs="Tahoma"/>
      <w:sz w:val="16"/>
      <w:szCs w:val="16"/>
    </w:rPr>
  </w:style>
  <w:style w:type="character" w:styleId="660" w:customStyle="1">
    <w:name w:val="rvts15"/>
    <w:basedOn w:val="645"/>
  </w:style>
  <w:style w:type="paragraph" w:styleId="661" w:customStyle="1">
    <w:name w:val="Нормальний текст"/>
    <w:basedOn w:val="644"/>
    <w:rPr>
      <w:rFonts w:ascii="Antiqua" w:hAnsi="Antiqua" w:cs="Times New Roman" w:eastAsia="Times New Roman"/>
      <w:sz w:val="26"/>
      <w:szCs w:val="20"/>
      <w:lang w:val="uk-UA" w:eastAsia="ru-RU"/>
    </w:rPr>
    <w:pPr>
      <w:ind w:firstLine="567"/>
      <w:spacing w:lineRule="auto" w:line="240" w:after="0" w:before="120"/>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nlyoffice.com/settingsCustom"/>
  </ds:schemaRefs>
</ds:datastoreItem>
</file>

<file path=docProps/app.xml><?xml version="1.0" encoding="utf-8"?>
<Properties xmlns="http://schemas.openxmlformats.org/officeDocument/2006/extended-properties" xmlns:vt="http://schemas.openxmlformats.org/officeDocument/2006/docPropsVTypes">
  <Application>ONLYOFFICE/6.3.1.32</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Снежана</dc:creator>
  <cp:lastModifiedBy>ПРИМАКОВ Геннадій Анатолійович</cp:lastModifiedBy>
  <cp:revision>8</cp:revision>
  <dcterms:created xsi:type="dcterms:W3CDTF">2021-12-01T10:01:00Z</dcterms:created>
  <dcterms:modified xsi:type="dcterms:W3CDTF">2021-12-13T14:33:26Z</dcterms:modified>
</cp:coreProperties>
</file>